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17" w:rsidRPr="00736AEC" w:rsidRDefault="005A6222"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The 2014</w:t>
      </w:r>
      <w:r w:rsidR="007A5062">
        <w:rPr>
          <w:rFonts w:ascii="Tahoma" w:hAnsi="Tahoma" w:cs="Tahoma"/>
          <w:b/>
          <w:iCs/>
          <w:color w:val="000000"/>
          <w:sz w:val="24"/>
          <w:szCs w:val="24"/>
        </w:rPr>
        <w:t xml:space="preserve"> City and Hackney </w:t>
      </w:r>
      <w:r w:rsidR="00A01417" w:rsidRPr="00736AEC">
        <w:rPr>
          <w:rFonts w:ascii="Tahoma" w:hAnsi="Tahoma" w:cs="Tahoma"/>
          <w:b/>
          <w:iCs/>
          <w:color w:val="000000"/>
          <w:sz w:val="24"/>
          <w:szCs w:val="24"/>
        </w:rPr>
        <w:t>Declaration on improving outcomes for people exp</w:t>
      </w:r>
      <w:r>
        <w:rPr>
          <w:rFonts w:ascii="Tahoma" w:hAnsi="Tahoma" w:cs="Tahoma"/>
          <w:b/>
          <w:iCs/>
          <w:color w:val="000000"/>
          <w:sz w:val="24"/>
          <w:szCs w:val="24"/>
        </w:rPr>
        <w:t xml:space="preserve">eriencing mental health crisis </w:t>
      </w:r>
      <w:r w:rsidR="007A5062">
        <w:rPr>
          <w:rFonts w:ascii="Tahoma" w:hAnsi="Tahoma" w:cs="Tahoma"/>
          <w:b/>
          <w:iCs/>
          <w:color w:val="000000"/>
          <w:sz w:val="24"/>
          <w:szCs w:val="24"/>
        </w:rPr>
        <w:t>9</w:t>
      </w:r>
      <w:r w:rsidR="007A5062" w:rsidRPr="007A5062">
        <w:rPr>
          <w:rFonts w:ascii="Tahoma" w:hAnsi="Tahoma" w:cs="Tahoma"/>
          <w:b/>
          <w:iCs/>
          <w:color w:val="000000"/>
          <w:sz w:val="24"/>
          <w:szCs w:val="24"/>
          <w:vertAlign w:val="superscript"/>
        </w:rPr>
        <w:t>th</w:t>
      </w:r>
      <w:r w:rsidR="007A5062">
        <w:rPr>
          <w:rFonts w:ascii="Tahoma" w:hAnsi="Tahoma" w:cs="Tahoma"/>
          <w:b/>
          <w:iCs/>
          <w:color w:val="000000"/>
          <w:sz w:val="24"/>
          <w:szCs w:val="24"/>
        </w:rPr>
        <w:t xml:space="preserve"> December 2014</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as partner organisations in </w:t>
      </w:r>
      <w:r w:rsidR="007A5062">
        <w:rPr>
          <w:rFonts w:ascii="Tahoma" w:hAnsi="Tahoma" w:cs="Tahoma"/>
          <w:b/>
          <w:iCs/>
          <w:color w:val="000000"/>
          <w:sz w:val="24"/>
          <w:szCs w:val="24"/>
        </w:rPr>
        <w:t>City and Hackney</w:t>
      </w:r>
      <w:r w:rsidRPr="00736AEC">
        <w:rPr>
          <w:rFonts w:ascii="Tahoma" w:hAnsi="Tahoma" w:cs="Tahoma"/>
          <w:iCs/>
          <w:color w:val="000000"/>
          <w:sz w:val="24"/>
          <w:szCs w:val="24"/>
        </w:rPr>
        <w:t xml:space="preserve"> will work together to put in place the principles of the national </w:t>
      </w:r>
      <w:r w:rsidRPr="00736AEC">
        <w:rPr>
          <w:rFonts w:ascii="Tahoma" w:hAnsi="Tahoma" w:cs="Tahoma"/>
          <w:b/>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7A5062">
        <w:rPr>
          <w:rFonts w:ascii="Tahoma" w:hAnsi="Tahoma" w:cs="Tahoma"/>
          <w:b/>
          <w:iCs/>
          <w:color w:val="000000"/>
          <w:sz w:val="24"/>
          <w:szCs w:val="24"/>
        </w:rPr>
        <w:t>City and Hackney</w:t>
      </w:r>
      <w:r w:rsidR="007A5062" w:rsidRPr="00736AEC">
        <w:rPr>
          <w:rFonts w:ascii="Tahoma" w:hAnsi="Tahoma" w:cs="Tahoma"/>
          <w:iCs/>
          <w:color w:val="000000"/>
          <w:sz w:val="24"/>
          <w:szCs w:val="24"/>
        </w:rPr>
        <w:t xml:space="preserve"> </w:t>
      </w:r>
      <w:r w:rsidRPr="00736AEC">
        <w:rPr>
          <w:rFonts w:ascii="Tahoma" w:hAnsi="Tahoma" w:cs="Tahoma"/>
          <w:iCs/>
          <w:color w:val="000000"/>
          <w:sz w:val="24"/>
          <w:szCs w:val="24"/>
        </w:rPr>
        <w:t>by putting in place, reviewing and regularly updating the attached action plan.</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(see the glossary) between physical and mental health care in the following ways:</w:t>
      </w:r>
    </w:p>
    <w:p w:rsidR="00564006" w:rsidRPr="005A6222" w:rsidRDefault="00A01417"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in </w:t>
      </w:r>
      <w:r w:rsidR="007A5062">
        <w:rPr>
          <w:rFonts w:ascii="Tahoma" w:hAnsi="Tahoma" w:cs="Tahoma"/>
          <w:b/>
          <w:iCs/>
          <w:color w:val="000000"/>
          <w:sz w:val="24"/>
          <w:szCs w:val="24"/>
        </w:rPr>
        <w:t>City and Hackney</w:t>
      </w:r>
      <w:r w:rsidR="007A5062" w:rsidRPr="00736AEC">
        <w:rPr>
          <w:rFonts w:ascii="Tahoma" w:hAnsi="Tahoma" w:cs="Tahoma"/>
          <w:iCs/>
          <w:color w:val="000000"/>
          <w:sz w:val="24"/>
          <w:szCs w:val="24"/>
        </w:rPr>
        <w:t xml:space="preserve"> </w:t>
      </w:r>
      <w:r w:rsidR="00736AEC">
        <w:rPr>
          <w:rFonts w:ascii="Tahoma" w:hAnsi="Tahoma" w:cs="Tahoma"/>
          <w:color w:val="000000"/>
          <w:sz w:val="24"/>
          <w:szCs w:val="24"/>
        </w:rPr>
        <w:t xml:space="preserve">for help in a crisis. </w:t>
      </w:r>
      <w:r w:rsidRPr="00736AEC">
        <w:rPr>
          <w:rFonts w:ascii="Tahoma" w:hAnsi="Tahoma" w:cs="Tahoma"/>
          <w:color w:val="000000"/>
          <w:sz w:val="24"/>
          <w:szCs w:val="24"/>
        </w:rPr>
        <w:t>This will result in the best outcomes for people with suspected serious mental illness, provide advice and support for their carers, and make sure that services work together safely and effectively.</w:t>
      </w:r>
    </w:p>
    <w:p w:rsidR="00564006"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sidR="00736AEC">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sidR="00736AEC">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A01417" w:rsidRPr="005A6222"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565441" w:rsidRDefault="00A01417"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7D6209" w:rsidRPr="00736AEC"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sidR="00736AEC">
        <w:rPr>
          <w:rFonts w:ascii="Tahoma" w:hAnsi="Tahoma" w:cs="Tahoma"/>
          <w:b/>
          <w:color w:val="000000"/>
          <w:sz w:val="24"/>
          <w:szCs w:val="24"/>
        </w:rPr>
        <w:t xml:space="preserve">Declaration.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 xml:space="preserve">health needs in </w:t>
      </w:r>
      <w:r w:rsidR="007A5062">
        <w:rPr>
          <w:rFonts w:ascii="Tahoma" w:hAnsi="Tahoma" w:cs="Tahoma"/>
          <w:b/>
          <w:iCs/>
          <w:color w:val="000000"/>
          <w:sz w:val="24"/>
          <w:szCs w:val="24"/>
        </w:rPr>
        <w:t>City and Hackney</w:t>
      </w:r>
      <w:r w:rsidR="007A5062">
        <w:rPr>
          <w:rFonts w:ascii="Tahoma" w:hAnsi="Tahoma" w:cs="Tahoma"/>
          <w:b/>
          <w:iCs/>
          <w:color w:val="000000"/>
          <w:sz w:val="24"/>
          <w:szCs w:val="24"/>
        </w:rPr>
        <w:t>.</w:t>
      </w:r>
    </w:p>
    <w:p w:rsidR="00564006" w:rsidRDefault="00564006" w:rsidP="00565441">
      <w:pPr>
        <w:spacing w:after="0" w:line="240" w:lineRule="auto"/>
        <w:rPr>
          <w:rFonts w:ascii="Tahoma" w:hAnsi="Tahoma" w:cs="Tahoma"/>
          <w:b/>
          <w:color w:val="000000"/>
          <w:sz w:val="24"/>
          <w:szCs w:val="24"/>
        </w:rPr>
      </w:pPr>
    </w:p>
    <w:p w:rsidR="007A5062" w:rsidRDefault="007A5062" w:rsidP="005A6222">
      <w:pPr>
        <w:rPr>
          <w:rFonts w:ascii="Tahoma" w:hAnsi="Tahoma" w:cs="Tahoma"/>
          <w:b/>
          <w:color w:val="000000"/>
          <w:sz w:val="28"/>
          <w:szCs w:val="24"/>
        </w:rPr>
      </w:pPr>
      <w:r>
        <w:rPr>
          <w:rFonts w:ascii="Tahoma" w:hAnsi="Tahoma" w:cs="Tahoma"/>
          <w:b/>
          <w:color w:val="000000"/>
          <w:sz w:val="28"/>
          <w:szCs w:val="24"/>
        </w:rPr>
        <w:lastRenderedPageBreak/>
        <w:t>East London Foundation Trust</w:t>
      </w:r>
    </w:p>
    <w:p w:rsidR="007A5062" w:rsidRDefault="007A5062" w:rsidP="005A6222">
      <w:pPr>
        <w:rPr>
          <w:rFonts w:ascii="Tahoma" w:hAnsi="Tahoma" w:cs="Tahoma"/>
          <w:b/>
          <w:color w:val="000000"/>
          <w:sz w:val="28"/>
          <w:szCs w:val="24"/>
        </w:rPr>
      </w:pPr>
      <w:r>
        <w:rPr>
          <w:rFonts w:ascii="Tahoma" w:hAnsi="Tahoma" w:cs="Tahoma"/>
          <w:b/>
          <w:color w:val="000000"/>
          <w:sz w:val="28"/>
          <w:szCs w:val="24"/>
        </w:rPr>
        <w:t>Mind in City and Hackney</w:t>
      </w:r>
    </w:p>
    <w:p w:rsidR="007A5062" w:rsidRDefault="007A5062" w:rsidP="005A6222">
      <w:pPr>
        <w:rPr>
          <w:rFonts w:ascii="Tahoma" w:hAnsi="Tahoma" w:cs="Tahoma"/>
          <w:b/>
          <w:color w:val="000000"/>
          <w:sz w:val="28"/>
          <w:szCs w:val="24"/>
        </w:rPr>
      </w:pPr>
      <w:r>
        <w:rPr>
          <w:rFonts w:ascii="Tahoma" w:hAnsi="Tahoma" w:cs="Tahoma"/>
          <w:b/>
          <w:color w:val="000000"/>
          <w:sz w:val="28"/>
          <w:szCs w:val="24"/>
        </w:rPr>
        <w:t>City and Hackney CCG</w:t>
      </w:r>
    </w:p>
    <w:p w:rsidR="007A5062" w:rsidRDefault="007A5062" w:rsidP="005A6222">
      <w:pPr>
        <w:rPr>
          <w:rFonts w:ascii="Tahoma" w:hAnsi="Tahoma" w:cs="Tahoma"/>
          <w:b/>
          <w:color w:val="000000"/>
          <w:sz w:val="28"/>
          <w:szCs w:val="24"/>
        </w:rPr>
      </w:pPr>
      <w:r>
        <w:rPr>
          <w:rFonts w:ascii="Tahoma" w:hAnsi="Tahoma" w:cs="Tahoma"/>
          <w:b/>
          <w:color w:val="000000"/>
          <w:sz w:val="28"/>
          <w:szCs w:val="24"/>
        </w:rPr>
        <w:t>Homerton University Hospital</w:t>
      </w:r>
    </w:p>
    <w:p w:rsidR="007A5062" w:rsidRDefault="00074122" w:rsidP="005A6222">
      <w:pPr>
        <w:rPr>
          <w:rFonts w:ascii="Tahoma" w:hAnsi="Tahoma" w:cs="Tahoma"/>
          <w:b/>
          <w:color w:val="000000"/>
          <w:sz w:val="28"/>
          <w:szCs w:val="24"/>
        </w:rPr>
      </w:pPr>
      <w:r>
        <w:rPr>
          <w:rFonts w:ascii="Tahoma" w:hAnsi="Tahoma" w:cs="Tahoma"/>
          <w:b/>
          <w:color w:val="000000"/>
          <w:sz w:val="28"/>
          <w:szCs w:val="24"/>
        </w:rPr>
        <w:t>London Borough of Hackney</w:t>
      </w:r>
    </w:p>
    <w:p w:rsidR="00074122" w:rsidRDefault="00074122" w:rsidP="005A6222">
      <w:pPr>
        <w:rPr>
          <w:rFonts w:ascii="Tahoma" w:hAnsi="Tahoma" w:cs="Tahoma"/>
          <w:b/>
          <w:color w:val="000000"/>
          <w:sz w:val="28"/>
          <w:szCs w:val="24"/>
        </w:rPr>
      </w:pPr>
      <w:proofErr w:type="spellStart"/>
      <w:r>
        <w:rPr>
          <w:rFonts w:ascii="Tahoma" w:hAnsi="Tahoma" w:cs="Tahoma"/>
          <w:b/>
          <w:color w:val="000000"/>
          <w:sz w:val="28"/>
          <w:szCs w:val="24"/>
        </w:rPr>
        <w:t>Tavistock</w:t>
      </w:r>
      <w:proofErr w:type="spellEnd"/>
      <w:r>
        <w:rPr>
          <w:rFonts w:ascii="Tahoma" w:hAnsi="Tahoma" w:cs="Tahoma"/>
          <w:b/>
          <w:color w:val="000000"/>
          <w:sz w:val="28"/>
          <w:szCs w:val="24"/>
        </w:rPr>
        <w:t xml:space="preserve"> and Portman Foundation Trust</w:t>
      </w:r>
    </w:p>
    <w:p w:rsidR="00074122" w:rsidRDefault="00074122" w:rsidP="005A6222">
      <w:pPr>
        <w:rPr>
          <w:rFonts w:ascii="Tahoma" w:hAnsi="Tahoma" w:cs="Tahoma"/>
          <w:b/>
          <w:color w:val="000000"/>
          <w:sz w:val="28"/>
          <w:szCs w:val="24"/>
        </w:rPr>
      </w:pPr>
      <w:bookmarkStart w:id="0" w:name="_GoBack"/>
      <w:bookmarkEnd w:id="0"/>
    </w:p>
    <w:p w:rsidR="00F53949" w:rsidRPr="005A6222" w:rsidRDefault="00F53949" w:rsidP="005A6222">
      <w:pPr>
        <w:rPr>
          <w:rFonts w:ascii="Tahoma" w:hAnsi="Tahoma" w:cs="Tahoma"/>
          <w:b/>
          <w:color w:val="000000"/>
          <w:sz w:val="28"/>
          <w:szCs w:val="24"/>
        </w:rPr>
      </w:pPr>
      <w:r w:rsidRPr="005A6222">
        <w:rPr>
          <w:rFonts w:ascii="Tahoma" w:hAnsi="Tahoma" w:cs="Tahoma"/>
          <w:b/>
          <w:color w:val="000000"/>
          <w:sz w:val="28"/>
          <w:szCs w:val="24"/>
        </w:rPr>
        <w:t>Who should sign a local Declaration?</w:t>
      </w:r>
    </w:p>
    <w:p w:rsidR="000E4872" w:rsidRPr="000E4872" w:rsidRDefault="000E4872" w:rsidP="000E4872">
      <w:pPr>
        <w:rPr>
          <w:rFonts w:ascii="Tahoma" w:hAnsi="Tahoma" w:cs="Tahoma"/>
          <w:sz w:val="24"/>
          <w:szCs w:val="24"/>
        </w:rPr>
      </w:pPr>
      <w:r w:rsidRPr="000E4872">
        <w:rPr>
          <w:rFonts w:ascii="Tahoma" w:hAnsi="Tahoma" w:cs="Tahoma"/>
          <w:sz w:val="24"/>
          <w:szCs w:val="24"/>
        </w:rPr>
        <w:t xml:space="preserve">Many local organisations want to support the Declaration because of their commitment to improve mental health care and may want to make a specific contribution within the action plan for continuous improvements. </w:t>
      </w:r>
    </w:p>
    <w:p w:rsidR="000E4872" w:rsidRPr="000E4872" w:rsidRDefault="000E4872" w:rsidP="000E4872">
      <w:pPr>
        <w:rPr>
          <w:rFonts w:ascii="Tahoma" w:hAnsi="Tahoma" w:cs="Tahoma"/>
          <w:sz w:val="24"/>
          <w:szCs w:val="24"/>
        </w:rPr>
      </w:pPr>
      <w:r w:rsidRPr="000E4872">
        <w:rPr>
          <w:rFonts w:ascii="Tahoma" w:hAnsi="Tahoma" w:cs="Tahoma"/>
          <w:sz w:val="24"/>
          <w:szCs w:val="24"/>
        </w:rPr>
        <w:t>In addition, certain organisations have a formal (statutory) responsibility and/or a professional duty of care regarding people presenting in mental health crisis:</w:t>
      </w:r>
    </w:p>
    <w:p w:rsidR="00F53949" w:rsidRDefault="007A5062" w:rsidP="005A6222">
      <w:pPr>
        <w:rPr>
          <w:rFonts w:ascii="Tahoma" w:hAnsi="Tahoma" w:cs="Tahoma"/>
          <w:b/>
          <w:color w:val="000000"/>
          <w:sz w:val="24"/>
          <w:szCs w:val="24"/>
        </w:rPr>
      </w:pPr>
      <w:r>
        <w:rPr>
          <w:rFonts w:ascii="Tahoma" w:hAnsi="Tahoma" w:cs="Tahoma"/>
          <w:b/>
          <w:noProof/>
          <w:color w:val="000000"/>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57150</wp:posOffset>
                </wp:positionV>
                <wp:extent cx="3486150" cy="1744980"/>
                <wp:effectExtent l="0" t="0" r="0" b="762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1744980"/>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872" w:rsidRDefault="000E4872" w:rsidP="000E4872">
                            <w:pPr>
                              <w:pStyle w:val="ListParagraph"/>
                              <w:numPr>
                                <w:ilvl w:val="0"/>
                                <w:numId w:val="7"/>
                              </w:numPr>
                              <w:spacing w:after="0" w:line="240" w:lineRule="auto"/>
                              <w:contextualSpacing/>
                              <w:rPr>
                                <w:sz w:val="28"/>
                                <w:szCs w:val="24"/>
                              </w:rPr>
                            </w:pPr>
                            <w:r w:rsidRPr="000E4872">
                              <w:rPr>
                                <w:rFonts w:asciiTheme="minorHAnsi" w:cstheme="minorBidi"/>
                                <w:color w:val="47485F" w:themeColor="dark1"/>
                                <w:kern w:val="24"/>
                                <w:sz w:val="28"/>
                                <w:szCs w:val="28"/>
                              </w:rPr>
                              <w:t>NHS providers of Urgent and Emergency Care (Emergency Departments within local hospitals)</w:t>
                            </w:r>
                          </w:p>
                          <w:p w:rsidR="000E4872" w:rsidRDefault="000E4872" w:rsidP="000E4872">
                            <w:pPr>
                              <w:pStyle w:val="ListParagraph"/>
                              <w:numPr>
                                <w:ilvl w:val="0"/>
                                <w:numId w:val="7"/>
                              </w:numPr>
                              <w:spacing w:after="0" w:line="240" w:lineRule="auto"/>
                              <w:contextualSpacing/>
                              <w:rPr>
                                <w:sz w:val="28"/>
                              </w:rPr>
                            </w:pPr>
                            <w:r w:rsidRPr="000E4872">
                              <w:rPr>
                                <w:rFonts w:asciiTheme="minorHAnsi" w:cstheme="minorBidi"/>
                                <w:color w:val="47485F" w:themeColor="text1"/>
                                <w:kern w:val="24"/>
                                <w:sz w:val="28"/>
                                <w:szCs w:val="28"/>
                              </w:rPr>
                              <w:t xml:space="preserve">Public / independent providers of NHS funded mental health services </w:t>
                            </w:r>
                          </w:p>
                          <w:p w:rsidR="000E4872" w:rsidRDefault="000E4872" w:rsidP="000E4872">
                            <w:pPr>
                              <w:pStyle w:val="ListParagraph"/>
                              <w:numPr>
                                <w:ilvl w:val="0"/>
                                <w:numId w:val="7"/>
                              </w:numPr>
                              <w:spacing w:after="0" w:line="240" w:lineRule="auto"/>
                              <w:contextualSpacing/>
                              <w:rPr>
                                <w:sz w:val="28"/>
                              </w:rPr>
                            </w:pPr>
                            <w:r w:rsidRPr="000E4872">
                              <w:rPr>
                                <w:rFonts w:asciiTheme="minorHAnsi" w:cstheme="minorBidi"/>
                                <w:color w:val="47485F" w:themeColor="text1"/>
                                <w:kern w:val="24"/>
                                <w:sz w:val="28"/>
                                <w:szCs w:val="28"/>
                              </w:rPr>
                              <w:t>Public / independent providers of substance misuse services</w:t>
                            </w:r>
                          </w:p>
                        </w:txbxContent>
                      </wps:txbx>
                      <wps:bodyPr lIns="144000" rIns="144000" rtlCol="0" anchor="ct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40pt;margin-top:4.5pt;width:274.5pt;height:1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" fillcolor="#d9d9d9" stroked="f" strokeweight="2pt">
                <v:path arrowok="t"/>
                <v:textbox inset="4mm,,4mm">
                  <w:txbxContent>
                    <w:p w:rsidR="000E4872" w:rsidRDefault="000E4872" w:rsidP="000E4872">
                      <w:pPr>
                        <w:pStyle w:val="ListParagraph"/>
                        <w:numPr>
                          <w:ilvl w:val="0"/>
                          <w:numId w:val="7"/>
                        </w:numPr>
                        <w:spacing w:after="0" w:line="240" w:lineRule="auto"/>
                        <w:contextualSpacing/>
                        <w:rPr>
                          <w:sz w:val="28"/>
                          <w:szCs w:val="24"/>
                        </w:rPr>
                      </w:pPr>
                      <w:r w:rsidRPr="000E4872">
                        <w:rPr>
                          <w:rFonts w:asciiTheme="minorHAnsi" w:cstheme="minorBidi"/>
                          <w:color w:val="47485F" w:themeColor="dark1"/>
                          <w:kern w:val="24"/>
                          <w:sz w:val="28"/>
                          <w:szCs w:val="28"/>
                        </w:rPr>
                        <w:t>NHS providers of Urgent and Emergency Care (Emergency Departments within local hospitals)</w:t>
                      </w:r>
                    </w:p>
                    <w:p w:rsidR="000E4872" w:rsidRDefault="000E4872" w:rsidP="000E4872">
                      <w:pPr>
                        <w:pStyle w:val="ListParagraph"/>
                        <w:numPr>
                          <w:ilvl w:val="0"/>
                          <w:numId w:val="7"/>
                        </w:numPr>
                        <w:spacing w:after="0" w:line="240" w:lineRule="auto"/>
                        <w:contextualSpacing/>
                        <w:rPr>
                          <w:sz w:val="28"/>
                        </w:rPr>
                      </w:pPr>
                      <w:r w:rsidRPr="000E4872">
                        <w:rPr>
                          <w:rFonts w:asciiTheme="minorHAnsi" w:cstheme="minorBidi"/>
                          <w:color w:val="47485F" w:themeColor="text1"/>
                          <w:kern w:val="24"/>
                          <w:sz w:val="28"/>
                          <w:szCs w:val="28"/>
                        </w:rPr>
                        <w:t xml:space="preserve">Public / independent providers of NHS funded mental health services </w:t>
                      </w:r>
                    </w:p>
                    <w:p w:rsidR="000E4872" w:rsidRDefault="000E4872" w:rsidP="000E4872">
                      <w:pPr>
                        <w:pStyle w:val="ListParagraph"/>
                        <w:numPr>
                          <w:ilvl w:val="0"/>
                          <w:numId w:val="7"/>
                        </w:numPr>
                        <w:spacing w:after="0" w:line="240" w:lineRule="auto"/>
                        <w:contextualSpacing/>
                        <w:rPr>
                          <w:sz w:val="28"/>
                        </w:rPr>
                      </w:pPr>
                      <w:r w:rsidRPr="000E4872">
                        <w:rPr>
                          <w:rFonts w:asciiTheme="minorHAnsi" w:cstheme="minorBidi"/>
                          <w:color w:val="47485F" w:themeColor="text1"/>
                          <w:kern w:val="24"/>
                          <w:sz w:val="28"/>
                          <w:szCs w:val="28"/>
                        </w:rPr>
                        <w:t>Public / independent providers of substance misuse services</w:t>
                      </w:r>
                    </w:p>
                  </w:txbxContent>
                </v:textbox>
              </v:rect>
            </w:pict>
          </mc:Fallback>
        </mc:AlternateContent>
      </w:r>
      <w:r>
        <w:rPr>
          <w:rFonts w:ascii="Tahoma" w:hAnsi="Tahoma" w:cs="Tahoma"/>
          <w:b/>
          <w:noProof/>
          <w:color w:val="000000"/>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57150</wp:posOffset>
                </wp:positionV>
                <wp:extent cx="3241040" cy="1744980"/>
                <wp:effectExtent l="0" t="0" r="0" b="762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1040" cy="1744980"/>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4872" w:rsidRDefault="000E4872" w:rsidP="000E4872">
                            <w:pPr>
                              <w:pStyle w:val="ListParagraph"/>
                              <w:numPr>
                                <w:ilvl w:val="0"/>
                                <w:numId w:val="6"/>
                              </w:numPr>
                              <w:spacing w:after="0" w:line="240" w:lineRule="auto"/>
                              <w:contextualSpacing/>
                              <w:rPr>
                                <w:sz w:val="28"/>
                                <w:szCs w:val="24"/>
                              </w:rPr>
                            </w:pPr>
                            <w:r w:rsidRPr="000E4872">
                              <w:rPr>
                                <w:rFonts w:asciiTheme="minorHAnsi" w:cstheme="minorBidi"/>
                                <w:color w:val="47485F" w:themeColor="dark1"/>
                                <w:kern w:val="24"/>
                                <w:sz w:val="28"/>
                                <w:szCs w:val="28"/>
                              </w:rPr>
                              <w:t>Clinical Commissioning Groups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NHS England Local Area teams (primary care commissioners)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Commissioners of social services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 xml:space="preserve">The Police Service </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Police and Crime Commissioners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The Ambulance Service</w:t>
                            </w:r>
                          </w:p>
                        </w:txbxContent>
                      </wps:txbx>
                      <wps:bodyPr lIns="144000" rIns="144000" rtlCol="0" anchor="ct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1.75pt;margin-top:4.5pt;width:255.2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" fillcolor="#d9d9d9" stroked="f" strokeweight="2pt">
                <v:path arrowok="t"/>
                <v:textbox inset="4mm,,4mm">
                  <w:txbxContent>
                    <w:p w:rsidR="000E4872" w:rsidRDefault="000E4872" w:rsidP="000E4872">
                      <w:pPr>
                        <w:pStyle w:val="ListParagraph"/>
                        <w:numPr>
                          <w:ilvl w:val="0"/>
                          <w:numId w:val="6"/>
                        </w:numPr>
                        <w:spacing w:after="0" w:line="240" w:lineRule="auto"/>
                        <w:contextualSpacing/>
                        <w:rPr>
                          <w:sz w:val="28"/>
                          <w:szCs w:val="24"/>
                        </w:rPr>
                      </w:pPr>
                      <w:r w:rsidRPr="000E4872">
                        <w:rPr>
                          <w:rFonts w:asciiTheme="minorHAnsi" w:cstheme="minorBidi"/>
                          <w:color w:val="47485F" w:themeColor="dark1"/>
                          <w:kern w:val="24"/>
                          <w:sz w:val="28"/>
                          <w:szCs w:val="28"/>
                        </w:rPr>
                        <w:t>Clinical Commissioning Groups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NHS England Local Area teams (primary care commissioners)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Commissioners of social services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 xml:space="preserve">The Police Service </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Police and Crime Commissioners</w:t>
                      </w:r>
                    </w:p>
                    <w:p w:rsidR="000E4872" w:rsidRDefault="000E4872" w:rsidP="000E4872">
                      <w:pPr>
                        <w:pStyle w:val="ListParagraph"/>
                        <w:numPr>
                          <w:ilvl w:val="0"/>
                          <w:numId w:val="6"/>
                        </w:numPr>
                        <w:spacing w:after="0" w:line="240" w:lineRule="auto"/>
                        <w:contextualSpacing/>
                        <w:rPr>
                          <w:sz w:val="28"/>
                        </w:rPr>
                      </w:pPr>
                      <w:r w:rsidRPr="000E4872">
                        <w:rPr>
                          <w:rFonts w:asciiTheme="minorHAnsi" w:cstheme="minorBidi"/>
                          <w:color w:val="47485F" w:themeColor="dark1"/>
                          <w:kern w:val="24"/>
                          <w:sz w:val="28"/>
                          <w:szCs w:val="28"/>
                        </w:rPr>
                        <w:t>The Ambulance Service</w:t>
                      </w:r>
                    </w:p>
                  </w:txbxContent>
                </v:textbox>
              </v:rect>
            </w:pict>
          </mc:Fallback>
        </mc:AlternateContent>
      </w:r>
    </w:p>
    <w:p w:rsidR="005A6222" w:rsidRDefault="00F53949" w:rsidP="005A6222">
      <w:pPr>
        <w:spacing w:after="0"/>
        <w:rPr>
          <w:rFonts w:ascii="Tahoma" w:hAnsi="Tahoma" w:cs="Tahoma"/>
          <w:b/>
          <w:color w:val="000000"/>
          <w:sz w:val="24"/>
          <w:szCs w:val="24"/>
        </w:rPr>
      </w:pPr>
      <w:r>
        <w:rPr>
          <w:rFonts w:ascii="Tahoma" w:hAnsi="Tahoma" w:cs="Tahoma"/>
          <w:b/>
          <w:color w:val="000000"/>
          <w:sz w:val="24"/>
          <w:szCs w:val="24"/>
        </w:rPr>
        <w:br w:type="page"/>
      </w:r>
    </w:p>
    <w:p w:rsidR="00736AEC" w:rsidRPr="005A6222" w:rsidRDefault="00736AEC" w:rsidP="005A6222">
      <w:pPr>
        <w:spacing w:after="0"/>
        <w:rPr>
          <w:rFonts w:ascii="Tahoma" w:hAnsi="Tahoma" w:cs="Tahoma"/>
          <w:b/>
          <w:i/>
          <w:iCs/>
          <w:color w:val="000000"/>
          <w:sz w:val="28"/>
          <w:szCs w:val="24"/>
        </w:rPr>
      </w:pPr>
      <w:r w:rsidRPr="005A6222">
        <w:rPr>
          <w:rFonts w:ascii="Tahoma" w:hAnsi="Tahoma" w:cs="Tahoma"/>
          <w:b/>
          <w:color w:val="000000"/>
          <w:sz w:val="28"/>
          <w:szCs w:val="24"/>
        </w:rPr>
        <w:lastRenderedPageBreak/>
        <w:t>Glossary of terms used in this d</w:t>
      </w:r>
      <w:r w:rsidRPr="005A6222">
        <w:rPr>
          <w:rFonts w:ascii="Tahoma" w:hAnsi="Tahoma" w:cs="Tahoma"/>
          <w:b/>
          <w:iCs/>
          <w:color w:val="000000"/>
          <w:sz w:val="28"/>
          <w:szCs w:val="24"/>
        </w:rPr>
        <w:t>eclaration</w:t>
      </w:r>
    </w:p>
    <w:p w:rsidR="00736AEC" w:rsidRPr="00736AEC" w:rsidRDefault="00736AEC" w:rsidP="005A6222">
      <w:pPr>
        <w:autoSpaceDE w:val="0"/>
        <w:autoSpaceDN w:val="0"/>
        <w:adjustRightInd w:val="0"/>
        <w:spacing w:after="0" w:line="240" w:lineRule="auto"/>
        <w:rPr>
          <w:rFonts w:ascii="Tahoma" w:hAnsi="Tahoma" w:cs="Tahoma"/>
          <w:b/>
          <w:i/>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7468"/>
      </w:tblGrid>
      <w:tr w:rsidR="00736AEC" w:rsidRPr="00736AEC">
        <w:trPr>
          <w:trHeight w:val="4416"/>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074122" w:rsidP="005A6222">
            <w:pPr>
              <w:autoSpaceDE w:val="0"/>
              <w:autoSpaceDN w:val="0"/>
              <w:adjustRightInd w:val="0"/>
              <w:spacing w:after="0" w:line="240" w:lineRule="auto"/>
              <w:rPr>
                <w:rFonts w:ascii="Tahoma" w:hAnsi="Tahoma" w:cs="Tahoma"/>
                <w:sz w:val="24"/>
                <w:szCs w:val="24"/>
              </w:rPr>
            </w:pPr>
            <w:hyperlink r:id="rId12"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1257"/>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Borders>
              <w:top w:val="single" w:sz="4" w:space="0" w:color="auto"/>
              <w:left w:val="single" w:sz="4" w:space="0" w:color="auto"/>
              <w:bottom w:val="single" w:sz="4" w:space="0" w:color="auto"/>
              <w:right w:val="single" w:sz="4" w:space="0" w:color="auto"/>
            </w:tcBorders>
          </w:tcPr>
          <w:p w:rsid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97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074122" w:rsidP="005A6222">
            <w:pPr>
              <w:spacing w:after="0" w:line="240" w:lineRule="auto"/>
              <w:rPr>
                <w:rStyle w:val="Hyperlink"/>
                <w:rFonts w:ascii="Times New Roman" w:eastAsia="Calibri" w:hAnsi="Times New Roman"/>
                <w:sz w:val="24"/>
                <w:szCs w:val="24"/>
                <w:lang w:eastAsia="en-GB"/>
              </w:rPr>
            </w:pPr>
            <w:hyperlink r:id="rId13"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302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lastRenderedPageBreak/>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Dr.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14"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bl>
    <w:p w:rsidR="00736AEC" w:rsidRPr="00736AEC" w:rsidRDefault="00736AEC" w:rsidP="005A6222">
      <w:pPr>
        <w:spacing w:after="0" w:line="240" w:lineRule="auto"/>
        <w:rPr>
          <w:rFonts w:ascii="Tahoma" w:hAnsi="Tahoma" w:cs="Tahoma"/>
          <w:sz w:val="24"/>
          <w:szCs w:val="24"/>
        </w:rPr>
      </w:pPr>
    </w:p>
    <w:sectPr w:rsidR="00736AEC" w:rsidRPr="00736AEC" w:rsidSect="005A6222">
      <w:headerReference w:type="default" r:id="rId15"/>
      <w:pgSz w:w="11906" w:h="16838"/>
      <w:pgMar w:top="2556" w:right="1114" w:bottom="568" w:left="1136"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FF" w:rsidRDefault="005749FF" w:rsidP="00A01417">
      <w:pPr>
        <w:spacing w:after="0" w:line="240" w:lineRule="auto"/>
      </w:pPr>
      <w:r>
        <w:separator/>
      </w:r>
    </w:p>
  </w:endnote>
  <w:endnote w:type="continuationSeparator" w:id="0">
    <w:p w:rsidR="005749FF" w:rsidRDefault="005749FF" w:rsidP="00A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FF" w:rsidRDefault="005749FF" w:rsidP="00A01417">
      <w:pPr>
        <w:spacing w:after="0" w:line="240" w:lineRule="auto"/>
      </w:pPr>
      <w:r>
        <w:separator/>
      </w:r>
    </w:p>
  </w:footnote>
  <w:footnote w:type="continuationSeparator" w:id="0">
    <w:p w:rsidR="005749FF" w:rsidRDefault="005749FF" w:rsidP="00A0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17" w:rsidRPr="00A61329" w:rsidRDefault="005A6222" w:rsidP="005A6222">
    <w:pPr>
      <w:pStyle w:val="Header"/>
      <w:tabs>
        <w:tab w:val="clear" w:pos="9026"/>
      </w:tabs>
      <w:ind w:right="-142"/>
      <w:jc w:val="right"/>
      <w:rPr>
        <w:rFonts w:ascii="Tahoma" w:hAnsi="Tahoma" w:cs="Tahoma"/>
        <w:color w:val="FFFFFF" w:themeColor="background1"/>
        <w:sz w:val="28"/>
        <w:szCs w:val="24"/>
      </w:rPr>
    </w:pPr>
    <w:r w:rsidRPr="00A61329">
      <w:rPr>
        <w:rFonts w:ascii="Tahoma" w:hAnsi="Tahoma" w:cs="Tahoma"/>
        <w:b/>
        <w:noProof/>
        <w:color w:val="FFFFFF" w:themeColor="background1"/>
        <w:sz w:val="28"/>
        <w:szCs w:val="24"/>
        <w:lang w:eastAsia="en-GB"/>
      </w:rPr>
      <w:drawing>
        <wp:anchor distT="0" distB="0" distL="114300" distR="114300" simplePos="0" relativeHeight="251659264" behindDoc="1" locked="0" layoutInCell="1" allowOverlap="1">
          <wp:simplePos x="0" y="0"/>
          <wp:positionH relativeFrom="column">
            <wp:posOffset>-752231</wp:posOffset>
          </wp:positionH>
          <wp:positionV relativeFrom="page">
            <wp:posOffset>0</wp:posOffset>
          </wp:positionV>
          <wp:extent cx="7585222" cy="1350498"/>
          <wp:effectExtent l="25400" t="0" r="9378" b="0"/>
          <wp:wrapNone/>
          <wp:docPr id="9"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1"/>
                  <a:srcRect/>
                  <a:stretch>
                    <a:fillRect/>
                  </a:stretch>
                </pic:blipFill>
                <pic:spPr bwMode="auto">
                  <a:xfrm>
                    <a:off x="0" y="0"/>
                    <a:ext cx="7585222" cy="1350498"/>
                  </a:xfrm>
                  <a:prstGeom prst="rect">
                    <a:avLst/>
                  </a:prstGeom>
                  <a:noFill/>
                  <a:ln w="9525">
                    <a:noFill/>
                    <a:miter lim="800000"/>
                    <a:headEnd/>
                    <a:tailEnd/>
                  </a:ln>
                </pic:spPr>
              </pic:pic>
            </a:graphicData>
          </a:graphic>
        </wp:anchor>
      </w:drawing>
    </w:r>
    <w:r w:rsidR="007A5062">
      <w:rPr>
        <w:rFonts w:ascii="Tahoma" w:hAnsi="Tahoma" w:cs="Tahoma"/>
        <w:b/>
        <w:color w:val="FFFFFF" w:themeColor="background1"/>
        <w:sz w:val="28"/>
        <w:szCs w:val="24"/>
      </w:rPr>
      <w:t>City and Hackney</w:t>
    </w:r>
  </w:p>
  <w:p w:rsidR="00A01417" w:rsidRPr="005A6222" w:rsidRDefault="00A01417">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9F6"/>
    <w:multiLevelType w:val="hybridMultilevel"/>
    <w:tmpl w:val="93B86F80"/>
    <w:lvl w:ilvl="0" w:tplc="1E1C7B26">
      <w:start w:val="1"/>
      <w:numFmt w:val="bullet"/>
      <w:lvlText w:val="•"/>
      <w:lvlJc w:val="left"/>
      <w:pPr>
        <w:tabs>
          <w:tab w:val="num" w:pos="720"/>
        </w:tabs>
        <w:ind w:left="720" w:hanging="360"/>
      </w:pPr>
      <w:rPr>
        <w:rFonts w:ascii="Arial" w:hAnsi="Arial" w:hint="default"/>
      </w:rPr>
    </w:lvl>
    <w:lvl w:ilvl="1" w:tplc="CC208158" w:tentative="1">
      <w:start w:val="1"/>
      <w:numFmt w:val="bullet"/>
      <w:lvlText w:val="•"/>
      <w:lvlJc w:val="left"/>
      <w:pPr>
        <w:tabs>
          <w:tab w:val="num" w:pos="1440"/>
        </w:tabs>
        <w:ind w:left="1440" w:hanging="360"/>
      </w:pPr>
      <w:rPr>
        <w:rFonts w:ascii="Arial" w:hAnsi="Arial" w:hint="default"/>
      </w:rPr>
    </w:lvl>
    <w:lvl w:ilvl="2" w:tplc="6AB66250" w:tentative="1">
      <w:start w:val="1"/>
      <w:numFmt w:val="bullet"/>
      <w:lvlText w:val="•"/>
      <w:lvlJc w:val="left"/>
      <w:pPr>
        <w:tabs>
          <w:tab w:val="num" w:pos="2160"/>
        </w:tabs>
        <w:ind w:left="2160" w:hanging="360"/>
      </w:pPr>
      <w:rPr>
        <w:rFonts w:ascii="Arial" w:hAnsi="Arial" w:hint="default"/>
      </w:rPr>
    </w:lvl>
    <w:lvl w:ilvl="3" w:tplc="1CA2EBEE" w:tentative="1">
      <w:start w:val="1"/>
      <w:numFmt w:val="bullet"/>
      <w:lvlText w:val="•"/>
      <w:lvlJc w:val="left"/>
      <w:pPr>
        <w:tabs>
          <w:tab w:val="num" w:pos="2880"/>
        </w:tabs>
        <w:ind w:left="2880" w:hanging="360"/>
      </w:pPr>
      <w:rPr>
        <w:rFonts w:ascii="Arial" w:hAnsi="Arial" w:hint="default"/>
      </w:rPr>
    </w:lvl>
    <w:lvl w:ilvl="4" w:tplc="AB7A0EC2" w:tentative="1">
      <w:start w:val="1"/>
      <w:numFmt w:val="bullet"/>
      <w:lvlText w:val="•"/>
      <w:lvlJc w:val="left"/>
      <w:pPr>
        <w:tabs>
          <w:tab w:val="num" w:pos="3600"/>
        </w:tabs>
        <w:ind w:left="3600" w:hanging="360"/>
      </w:pPr>
      <w:rPr>
        <w:rFonts w:ascii="Arial" w:hAnsi="Arial" w:hint="default"/>
      </w:rPr>
    </w:lvl>
    <w:lvl w:ilvl="5" w:tplc="9942112E" w:tentative="1">
      <w:start w:val="1"/>
      <w:numFmt w:val="bullet"/>
      <w:lvlText w:val="•"/>
      <w:lvlJc w:val="left"/>
      <w:pPr>
        <w:tabs>
          <w:tab w:val="num" w:pos="4320"/>
        </w:tabs>
        <w:ind w:left="4320" w:hanging="360"/>
      </w:pPr>
      <w:rPr>
        <w:rFonts w:ascii="Arial" w:hAnsi="Arial" w:hint="default"/>
      </w:rPr>
    </w:lvl>
    <w:lvl w:ilvl="6" w:tplc="4DF6519C" w:tentative="1">
      <w:start w:val="1"/>
      <w:numFmt w:val="bullet"/>
      <w:lvlText w:val="•"/>
      <w:lvlJc w:val="left"/>
      <w:pPr>
        <w:tabs>
          <w:tab w:val="num" w:pos="5040"/>
        </w:tabs>
        <w:ind w:left="5040" w:hanging="360"/>
      </w:pPr>
      <w:rPr>
        <w:rFonts w:ascii="Arial" w:hAnsi="Arial" w:hint="default"/>
      </w:rPr>
    </w:lvl>
    <w:lvl w:ilvl="7" w:tplc="562C6832" w:tentative="1">
      <w:start w:val="1"/>
      <w:numFmt w:val="bullet"/>
      <w:lvlText w:val="•"/>
      <w:lvlJc w:val="left"/>
      <w:pPr>
        <w:tabs>
          <w:tab w:val="num" w:pos="5760"/>
        </w:tabs>
        <w:ind w:left="5760" w:hanging="360"/>
      </w:pPr>
      <w:rPr>
        <w:rFonts w:ascii="Arial" w:hAnsi="Arial" w:hint="default"/>
      </w:rPr>
    </w:lvl>
    <w:lvl w:ilvl="8" w:tplc="A9C46236" w:tentative="1">
      <w:start w:val="1"/>
      <w:numFmt w:val="bullet"/>
      <w:lvlText w:val="•"/>
      <w:lvlJc w:val="left"/>
      <w:pPr>
        <w:tabs>
          <w:tab w:val="num" w:pos="6480"/>
        </w:tabs>
        <w:ind w:left="6480" w:hanging="360"/>
      </w:pPr>
      <w:rPr>
        <w:rFonts w:ascii="Arial" w:hAnsi="Arial" w:hint="default"/>
      </w:rPr>
    </w:lvl>
  </w:abstractNum>
  <w:abstractNum w:abstractNumId="1">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35B38"/>
    <w:multiLevelType w:val="hybridMultilevel"/>
    <w:tmpl w:val="85267254"/>
    <w:lvl w:ilvl="0" w:tplc="6E485004">
      <w:start w:val="1"/>
      <w:numFmt w:val="bullet"/>
      <w:lvlText w:val="•"/>
      <w:lvlJc w:val="left"/>
      <w:pPr>
        <w:tabs>
          <w:tab w:val="num" w:pos="720"/>
        </w:tabs>
        <w:ind w:left="720" w:hanging="360"/>
      </w:pPr>
      <w:rPr>
        <w:rFonts w:ascii="Arial" w:hAnsi="Arial" w:hint="default"/>
      </w:rPr>
    </w:lvl>
    <w:lvl w:ilvl="1" w:tplc="22D6DC74" w:tentative="1">
      <w:start w:val="1"/>
      <w:numFmt w:val="bullet"/>
      <w:lvlText w:val="•"/>
      <w:lvlJc w:val="left"/>
      <w:pPr>
        <w:tabs>
          <w:tab w:val="num" w:pos="1440"/>
        </w:tabs>
        <w:ind w:left="1440" w:hanging="360"/>
      </w:pPr>
      <w:rPr>
        <w:rFonts w:ascii="Arial" w:hAnsi="Arial" w:hint="default"/>
      </w:rPr>
    </w:lvl>
    <w:lvl w:ilvl="2" w:tplc="0C3CB728" w:tentative="1">
      <w:start w:val="1"/>
      <w:numFmt w:val="bullet"/>
      <w:lvlText w:val="•"/>
      <w:lvlJc w:val="left"/>
      <w:pPr>
        <w:tabs>
          <w:tab w:val="num" w:pos="2160"/>
        </w:tabs>
        <w:ind w:left="2160" w:hanging="360"/>
      </w:pPr>
      <w:rPr>
        <w:rFonts w:ascii="Arial" w:hAnsi="Arial" w:hint="default"/>
      </w:rPr>
    </w:lvl>
    <w:lvl w:ilvl="3" w:tplc="EF448ABA" w:tentative="1">
      <w:start w:val="1"/>
      <w:numFmt w:val="bullet"/>
      <w:lvlText w:val="•"/>
      <w:lvlJc w:val="left"/>
      <w:pPr>
        <w:tabs>
          <w:tab w:val="num" w:pos="2880"/>
        </w:tabs>
        <w:ind w:left="2880" w:hanging="360"/>
      </w:pPr>
      <w:rPr>
        <w:rFonts w:ascii="Arial" w:hAnsi="Arial" w:hint="default"/>
      </w:rPr>
    </w:lvl>
    <w:lvl w:ilvl="4" w:tplc="929E5D54" w:tentative="1">
      <w:start w:val="1"/>
      <w:numFmt w:val="bullet"/>
      <w:lvlText w:val="•"/>
      <w:lvlJc w:val="left"/>
      <w:pPr>
        <w:tabs>
          <w:tab w:val="num" w:pos="3600"/>
        </w:tabs>
        <w:ind w:left="3600" w:hanging="360"/>
      </w:pPr>
      <w:rPr>
        <w:rFonts w:ascii="Arial" w:hAnsi="Arial" w:hint="default"/>
      </w:rPr>
    </w:lvl>
    <w:lvl w:ilvl="5" w:tplc="E5105748" w:tentative="1">
      <w:start w:val="1"/>
      <w:numFmt w:val="bullet"/>
      <w:lvlText w:val="•"/>
      <w:lvlJc w:val="left"/>
      <w:pPr>
        <w:tabs>
          <w:tab w:val="num" w:pos="4320"/>
        </w:tabs>
        <w:ind w:left="4320" w:hanging="360"/>
      </w:pPr>
      <w:rPr>
        <w:rFonts w:ascii="Arial" w:hAnsi="Arial" w:hint="default"/>
      </w:rPr>
    </w:lvl>
    <w:lvl w:ilvl="6" w:tplc="DCC0675A" w:tentative="1">
      <w:start w:val="1"/>
      <w:numFmt w:val="bullet"/>
      <w:lvlText w:val="•"/>
      <w:lvlJc w:val="left"/>
      <w:pPr>
        <w:tabs>
          <w:tab w:val="num" w:pos="5040"/>
        </w:tabs>
        <w:ind w:left="5040" w:hanging="360"/>
      </w:pPr>
      <w:rPr>
        <w:rFonts w:ascii="Arial" w:hAnsi="Arial" w:hint="default"/>
      </w:rPr>
    </w:lvl>
    <w:lvl w:ilvl="7" w:tplc="7BD660AA" w:tentative="1">
      <w:start w:val="1"/>
      <w:numFmt w:val="bullet"/>
      <w:lvlText w:val="•"/>
      <w:lvlJc w:val="left"/>
      <w:pPr>
        <w:tabs>
          <w:tab w:val="num" w:pos="5760"/>
        </w:tabs>
        <w:ind w:left="5760" w:hanging="360"/>
      </w:pPr>
      <w:rPr>
        <w:rFonts w:ascii="Arial" w:hAnsi="Arial" w:hint="default"/>
      </w:rPr>
    </w:lvl>
    <w:lvl w:ilvl="8" w:tplc="B09831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7"/>
    <w:rsid w:val="00074122"/>
    <w:rsid w:val="000E4872"/>
    <w:rsid w:val="00226D02"/>
    <w:rsid w:val="00453D9C"/>
    <w:rsid w:val="005560BC"/>
    <w:rsid w:val="00564006"/>
    <w:rsid w:val="00565441"/>
    <w:rsid w:val="005749FF"/>
    <w:rsid w:val="005A6222"/>
    <w:rsid w:val="006E289B"/>
    <w:rsid w:val="00736AEC"/>
    <w:rsid w:val="007A5062"/>
    <w:rsid w:val="007A7E83"/>
    <w:rsid w:val="007D6209"/>
    <w:rsid w:val="00911D86"/>
    <w:rsid w:val="0091385B"/>
    <w:rsid w:val="00975DEB"/>
    <w:rsid w:val="0099098F"/>
    <w:rsid w:val="00A01417"/>
    <w:rsid w:val="00A61329"/>
    <w:rsid w:val="00AE4255"/>
    <w:rsid w:val="00B927B5"/>
    <w:rsid w:val="00BD3045"/>
    <w:rsid w:val="00CA40FE"/>
    <w:rsid w:val="00D908B8"/>
    <w:rsid w:val="00E814B2"/>
    <w:rsid w:val="00E876E2"/>
    <w:rsid w:val="00F53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Ind w:w="0" w:type="dxa"/>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Ind w:w="0" w:type="dxa"/>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1265191056">
      <w:bodyDiv w:val="1"/>
      <w:marLeft w:val="0"/>
      <w:marRight w:val="0"/>
      <w:marTop w:val="0"/>
      <w:marBottom w:val="0"/>
      <w:divBdr>
        <w:top w:val="none" w:sz="0" w:space="0" w:color="auto"/>
        <w:left w:val="none" w:sz="0" w:space="0" w:color="auto"/>
        <w:bottom w:val="none" w:sz="0" w:space="0" w:color="auto"/>
        <w:right w:val="none" w:sz="0" w:space="0" w:color="auto"/>
      </w:divBdr>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gland.nhs.uk/ourwork/qual-clin-lead/p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uploads/system/uploads/attachment_data/file/281242/36353_Mental_Health_Crisis_accessib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mr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2.xml><?xml version="1.0" encoding="utf-8"?>
<ds:datastoreItem xmlns:ds="http://schemas.openxmlformats.org/officeDocument/2006/customXml" ds:itemID="{016366D2-9477-43B8-940E-F0462C7DA363}">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FAD185-E025-4F52-8DF2-F137AE4C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3F799-A1A5-409E-83FC-5C1B41E4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Maher</cp:lastModifiedBy>
  <cp:revision>3</cp:revision>
  <dcterms:created xsi:type="dcterms:W3CDTF">2014-12-09T14:14:00Z</dcterms:created>
  <dcterms:modified xsi:type="dcterms:W3CDTF">2014-12-11T15:07:00Z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