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2A" w:rsidRDefault="00522F56" w:rsidP="00C11666">
      <w:pPr>
        <w:pStyle w:val="Heading1"/>
        <w:tabs>
          <w:tab w:val="left" w:pos="1980"/>
          <w:tab w:val="center" w:pos="4156"/>
        </w:tabs>
        <w:ind w:firstLine="1440"/>
        <w:jc w:val="right"/>
      </w:pPr>
      <w:bookmarkStart w:id="0" w:name="_GoBack"/>
      <w:bookmarkEnd w:id="0"/>
      <w:r>
        <w:t xml:space="preserve">      </w:t>
      </w:r>
      <w:r w:rsidR="00982D8F">
        <w:rPr>
          <w:noProof/>
          <w:lang w:eastAsia="en-GB"/>
        </w:rPr>
        <w:drawing>
          <wp:inline distT="0" distB="0" distL="0" distR="0">
            <wp:extent cx="1285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inline>
        </w:drawing>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9180"/>
      </w:tblGrid>
      <w:tr w:rsidR="003F342A" w:rsidTr="00AA70BF">
        <w:tc>
          <w:tcPr>
            <w:tcW w:w="9180" w:type="dxa"/>
            <w:shd w:val="clear" w:color="auto" w:fill="BFBFBF"/>
          </w:tcPr>
          <w:p w:rsidR="003F342A" w:rsidRDefault="003F342A" w:rsidP="00EF089A">
            <w:pPr>
              <w:pStyle w:val="Heading4"/>
              <w:jc w:val="center"/>
            </w:pPr>
            <w:r>
              <w:t xml:space="preserve"> </w:t>
            </w:r>
            <w:r w:rsidRPr="00AA70BF">
              <w:rPr>
                <w:shd w:val="clear" w:color="auto" w:fill="BFBFBF"/>
              </w:rPr>
              <w:t>PROJECT PROGRESS REPORT</w:t>
            </w:r>
            <w:r w:rsidR="00623D37" w:rsidRPr="00AA70BF">
              <w:rPr>
                <w:shd w:val="clear" w:color="auto" w:fill="BFBFBF"/>
              </w:rPr>
              <w:t xml:space="preserve"> – </w:t>
            </w:r>
            <w:r w:rsidR="00EF089A">
              <w:rPr>
                <w:shd w:val="clear" w:color="auto" w:fill="BFBFBF"/>
              </w:rPr>
              <w:t>Crisis Care Concordat</w:t>
            </w:r>
          </w:p>
        </w:tc>
      </w:tr>
    </w:tbl>
    <w:p w:rsidR="003F342A" w:rsidRDefault="003F342A">
      <w:pPr>
        <w:rPr>
          <w:rFonts w:ascii="Arial" w:hAnsi="Arial" w:cs="Arial"/>
          <w:b/>
          <w:bCs/>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160"/>
        <w:gridCol w:w="2700"/>
      </w:tblGrid>
      <w:tr w:rsidR="003F342A" w:rsidTr="00C67E7E">
        <w:tc>
          <w:tcPr>
            <w:tcW w:w="2160" w:type="dxa"/>
          </w:tcPr>
          <w:p w:rsidR="003F342A" w:rsidRPr="00C67E7E" w:rsidRDefault="003F342A">
            <w:pPr>
              <w:rPr>
                <w:rFonts w:ascii="Arial" w:hAnsi="Arial" w:cs="Arial"/>
                <w:b/>
                <w:bCs/>
                <w:sz w:val="22"/>
                <w:szCs w:val="22"/>
              </w:rPr>
            </w:pPr>
            <w:r w:rsidRPr="00C67E7E">
              <w:rPr>
                <w:rFonts w:ascii="Arial" w:hAnsi="Arial" w:cs="Arial"/>
                <w:b/>
                <w:bCs/>
                <w:sz w:val="22"/>
                <w:szCs w:val="22"/>
              </w:rPr>
              <w:t>Project Manager:</w:t>
            </w:r>
          </w:p>
        </w:tc>
        <w:tc>
          <w:tcPr>
            <w:tcW w:w="2160" w:type="dxa"/>
          </w:tcPr>
          <w:p w:rsidR="003F342A" w:rsidRPr="00994BD8" w:rsidRDefault="00EF089A">
            <w:pPr>
              <w:rPr>
                <w:rFonts w:ascii="Calibri" w:hAnsi="Calibri" w:cs="Arial"/>
                <w:bCs/>
                <w:sz w:val="22"/>
                <w:szCs w:val="22"/>
              </w:rPr>
            </w:pPr>
            <w:r w:rsidRPr="00994BD8">
              <w:rPr>
                <w:rFonts w:ascii="Calibri" w:hAnsi="Calibri" w:cs="Arial"/>
                <w:bCs/>
                <w:sz w:val="22"/>
                <w:szCs w:val="22"/>
              </w:rPr>
              <w:t>Emily Holloway</w:t>
            </w:r>
          </w:p>
        </w:tc>
        <w:tc>
          <w:tcPr>
            <w:tcW w:w="2160" w:type="dxa"/>
          </w:tcPr>
          <w:p w:rsidR="003F342A" w:rsidRPr="00C67E7E" w:rsidRDefault="003F342A">
            <w:pPr>
              <w:rPr>
                <w:rFonts w:ascii="Arial" w:hAnsi="Arial" w:cs="Arial"/>
                <w:b/>
                <w:bCs/>
                <w:sz w:val="22"/>
                <w:szCs w:val="22"/>
              </w:rPr>
            </w:pPr>
            <w:r w:rsidRPr="00C67E7E">
              <w:rPr>
                <w:rFonts w:ascii="Arial" w:hAnsi="Arial" w:cs="Arial"/>
                <w:b/>
                <w:bCs/>
                <w:sz w:val="22"/>
                <w:szCs w:val="22"/>
              </w:rPr>
              <w:t xml:space="preserve">Report author: </w:t>
            </w:r>
          </w:p>
        </w:tc>
        <w:tc>
          <w:tcPr>
            <w:tcW w:w="2700" w:type="dxa"/>
          </w:tcPr>
          <w:p w:rsidR="003F342A" w:rsidRPr="00994BD8" w:rsidRDefault="00EF089A">
            <w:pPr>
              <w:rPr>
                <w:rFonts w:ascii="Calibri" w:hAnsi="Calibri" w:cs="Arial"/>
                <w:bCs/>
                <w:sz w:val="22"/>
                <w:szCs w:val="22"/>
              </w:rPr>
            </w:pPr>
            <w:r w:rsidRPr="00994BD8">
              <w:rPr>
                <w:rFonts w:ascii="Calibri" w:hAnsi="Calibri" w:cs="Arial"/>
                <w:bCs/>
                <w:sz w:val="22"/>
                <w:szCs w:val="22"/>
              </w:rPr>
              <w:t>Emily Holloway</w:t>
            </w:r>
            <w:r w:rsidR="000412F9">
              <w:rPr>
                <w:rFonts w:ascii="Calibri" w:hAnsi="Calibri" w:cs="Arial"/>
                <w:bCs/>
                <w:sz w:val="22"/>
                <w:szCs w:val="22"/>
              </w:rPr>
              <w:t>, Ros Cassy</w:t>
            </w:r>
          </w:p>
        </w:tc>
      </w:tr>
      <w:tr w:rsidR="003F342A" w:rsidTr="00C67E7E">
        <w:trPr>
          <w:trHeight w:val="353"/>
        </w:trPr>
        <w:tc>
          <w:tcPr>
            <w:tcW w:w="2160" w:type="dxa"/>
          </w:tcPr>
          <w:p w:rsidR="00C06529" w:rsidRPr="00C67E7E" w:rsidRDefault="003F342A">
            <w:pPr>
              <w:rPr>
                <w:rFonts w:ascii="Arial" w:hAnsi="Arial" w:cs="Arial"/>
                <w:b/>
                <w:bCs/>
                <w:sz w:val="22"/>
                <w:szCs w:val="22"/>
              </w:rPr>
            </w:pPr>
            <w:r w:rsidRPr="00C67E7E">
              <w:rPr>
                <w:rFonts w:ascii="Arial" w:hAnsi="Arial" w:cs="Arial"/>
                <w:b/>
                <w:bCs/>
                <w:sz w:val="22"/>
                <w:szCs w:val="22"/>
              </w:rPr>
              <w:t>Date of update:</w:t>
            </w:r>
          </w:p>
        </w:tc>
        <w:tc>
          <w:tcPr>
            <w:tcW w:w="2160" w:type="dxa"/>
          </w:tcPr>
          <w:p w:rsidR="003F342A" w:rsidRPr="00994BD8" w:rsidRDefault="009436C1" w:rsidP="009436C1">
            <w:pPr>
              <w:rPr>
                <w:rFonts w:ascii="Calibri" w:hAnsi="Calibri" w:cs="Arial"/>
                <w:bCs/>
                <w:sz w:val="22"/>
                <w:szCs w:val="22"/>
              </w:rPr>
            </w:pPr>
            <w:r>
              <w:rPr>
                <w:rFonts w:ascii="Calibri" w:hAnsi="Calibri" w:cs="Arial"/>
                <w:bCs/>
                <w:sz w:val="22"/>
                <w:szCs w:val="22"/>
              </w:rPr>
              <w:t xml:space="preserve">December </w:t>
            </w:r>
            <w:r w:rsidR="00CE3CE1" w:rsidRPr="00994BD8">
              <w:rPr>
                <w:rFonts w:ascii="Calibri" w:hAnsi="Calibri" w:cs="Arial"/>
                <w:bCs/>
                <w:sz w:val="22"/>
                <w:szCs w:val="22"/>
              </w:rPr>
              <w:t xml:space="preserve"> </w:t>
            </w:r>
            <w:r w:rsidR="002B6859" w:rsidRPr="00994BD8">
              <w:rPr>
                <w:rFonts w:ascii="Calibri" w:hAnsi="Calibri" w:cs="Arial"/>
                <w:bCs/>
                <w:sz w:val="22"/>
                <w:szCs w:val="22"/>
              </w:rPr>
              <w:t>15</w:t>
            </w:r>
          </w:p>
        </w:tc>
        <w:tc>
          <w:tcPr>
            <w:tcW w:w="2160" w:type="dxa"/>
          </w:tcPr>
          <w:p w:rsidR="003F342A" w:rsidRPr="00C67E7E" w:rsidRDefault="003F342A">
            <w:pPr>
              <w:rPr>
                <w:rFonts w:ascii="Arial" w:hAnsi="Arial" w:cs="Arial"/>
                <w:b/>
                <w:bCs/>
                <w:sz w:val="22"/>
                <w:szCs w:val="22"/>
              </w:rPr>
            </w:pPr>
          </w:p>
        </w:tc>
        <w:tc>
          <w:tcPr>
            <w:tcW w:w="2700" w:type="dxa"/>
          </w:tcPr>
          <w:p w:rsidR="007B4157" w:rsidRPr="00C67E7E" w:rsidRDefault="007B4157" w:rsidP="004D4A98">
            <w:pPr>
              <w:rPr>
                <w:rFonts w:ascii="Arial" w:hAnsi="Arial" w:cs="Arial"/>
                <w:bCs/>
                <w:sz w:val="22"/>
                <w:szCs w:val="22"/>
              </w:rPr>
            </w:pPr>
          </w:p>
        </w:tc>
      </w:tr>
    </w:tbl>
    <w:p w:rsidR="003F342A" w:rsidRDefault="003F342A">
      <w:pPr>
        <w:rPr>
          <w:rFonts w:ascii="Arial" w:hAnsi="Arial" w:cs="Arial"/>
          <w:b/>
          <w:bCs/>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94101" w:rsidRPr="00FB1732" w:rsidTr="00894101">
        <w:tc>
          <w:tcPr>
            <w:tcW w:w="9180" w:type="dxa"/>
            <w:shd w:val="clear" w:color="auto" w:fill="D9D9D9"/>
          </w:tcPr>
          <w:p w:rsidR="00894101" w:rsidRPr="00FB1732" w:rsidRDefault="00894101" w:rsidP="00AA70BF">
            <w:pPr>
              <w:rPr>
                <w:rFonts w:ascii="Arial" w:hAnsi="Arial" w:cs="Arial"/>
                <w:i/>
                <w:iCs/>
                <w:sz w:val="20"/>
                <w:szCs w:val="20"/>
              </w:rPr>
            </w:pPr>
            <w:r w:rsidRPr="00C67E7E">
              <w:rPr>
                <w:rFonts w:ascii="Arial" w:hAnsi="Arial" w:cs="Arial"/>
                <w:b/>
                <w:bCs/>
                <w:sz w:val="22"/>
                <w:szCs w:val="22"/>
              </w:rPr>
              <w:t>Project aim and objectives</w:t>
            </w:r>
            <w:r w:rsidRPr="00FB1732">
              <w:rPr>
                <w:rFonts w:ascii="Arial" w:hAnsi="Arial" w:cs="Arial"/>
                <w:i/>
                <w:iCs/>
                <w:sz w:val="20"/>
                <w:szCs w:val="20"/>
              </w:rPr>
              <w:t>:</w:t>
            </w:r>
          </w:p>
        </w:tc>
      </w:tr>
      <w:tr w:rsidR="00894101" w:rsidRPr="00FB1732" w:rsidTr="00AA70BF">
        <w:trPr>
          <w:trHeight w:val="720"/>
        </w:trPr>
        <w:tc>
          <w:tcPr>
            <w:tcW w:w="9180" w:type="dxa"/>
          </w:tcPr>
          <w:p w:rsidR="00EF089A" w:rsidRPr="00994BD8" w:rsidRDefault="00EF089A" w:rsidP="00EF089A">
            <w:pPr>
              <w:rPr>
                <w:rFonts w:ascii="Calibri" w:hAnsi="Calibri"/>
                <w:sz w:val="22"/>
                <w:szCs w:val="22"/>
              </w:rPr>
            </w:pPr>
            <w:r w:rsidRPr="00994BD8">
              <w:rPr>
                <w:rFonts w:ascii="Calibri" w:hAnsi="Calibri"/>
                <w:sz w:val="22"/>
                <w:szCs w:val="22"/>
              </w:rPr>
              <w:t>The Mental Health Crisis Concordat was published by the Department of Health in February 2014. It is a joint statement, written and agreed by its signatories, that describes what people experiencing a mental health crisis should be able to expect of the public services that respond to their needs.</w:t>
            </w:r>
          </w:p>
          <w:p w:rsidR="00EF089A" w:rsidRPr="00994BD8" w:rsidRDefault="00EF089A" w:rsidP="00EF089A">
            <w:pPr>
              <w:rPr>
                <w:rFonts w:ascii="Calibri" w:hAnsi="Calibri"/>
                <w:sz w:val="22"/>
                <w:szCs w:val="22"/>
              </w:rPr>
            </w:pPr>
            <w:r w:rsidRPr="00994BD8">
              <w:rPr>
                <w:rFonts w:ascii="Calibri" w:hAnsi="Calibri"/>
                <w:sz w:val="22"/>
                <w:szCs w:val="22"/>
              </w:rPr>
              <w:t>The Concordat is arranged around:</w:t>
            </w:r>
          </w:p>
          <w:p w:rsidR="00EF089A" w:rsidRPr="00994BD8" w:rsidRDefault="00EF089A" w:rsidP="00EF089A">
            <w:pPr>
              <w:rPr>
                <w:rFonts w:ascii="Calibri" w:hAnsi="Calibri"/>
                <w:sz w:val="22"/>
                <w:szCs w:val="22"/>
              </w:rPr>
            </w:pPr>
          </w:p>
          <w:p w:rsidR="00EF089A" w:rsidRPr="00994BD8" w:rsidRDefault="00EF089A" w:rsidP="00EF089A">
            <w:pPr>
              <w:pStyle w:val="ListParagraph"/>
              <w:numPr>
                <w:ilvl w:val="0"/>
                <w:numId w:val="29"/>
              </w:numPr>
              <w:rPr>
                <w:rFonts w:ascii="Calibri" w:hAnsi="Calibri"/>
                <w:sz w:val="22"/>
                <w:szCs w:val="22"/>
              </w:rPr>
            </w:pPr>
            <w:r w:rsidRPr="00994BD8">
              <w:rPr>
                <w:rFonts w:ascii="Calibri" w:hAnsi="Calibri"/>
                <w:sz w:val="22"/>
                <w:szCs w:val="22"/>
              </w:rPr>
              <w:t>Commissioning to allow earlier intervention and responsive crisis services</w:t>
            </w:r>
          </w:p>
          <w:p w:rsidR="00EF089A" w:rsidRPr="00994BD8" w:rsidRDefault="00EF089A" w:rsidP="00EF089A">
            <w:pPr>
              <w:pStyle w:val="ListParagraph"/>
              <w:numPr>
                <w:ilvl w:val="0"/>
                <w:numId w:val="29"/>
              </w:numPr>
              <w:rPr>
                <w:rFonts w:ascii="Calibri" w:hAnsi="Calibri"/>
                <w:sz w:val="22"/>
                <w:szCs w:val="22"/>
              </w:rPr>
            </w:pPr>
            <w:r w:rsidRPr="00994BD8">
              <w:rPr>
                <w:rFonts w:ascii="Calibri" w:hAnsi="Calibri"/>
                <w:sz w:val="22"/>
                <w:szCs w:val="22"/>
              </w:rPr>
              <w:t>Access to support before crisis point</w:t>
            </w:r>
          </w:p>
          <w:p w:rsidR="00EF089A" w:rsidRPr="00994BD8" w:rsidRDefault="00EF089A" w:rsidP="00EF089A">
            <w:pPr>
              <w:pStyle w:val="ListParagraph"/>
              <w:numPr>
                <w:ilvl w:val="0"/>
                <w:numId w:val="29"/>
              </w:numPr>
              <w:rPr>
                <w:rFonts w:ascii="Calibri" w:hAnsi="Calibri"/>
                <w:sz w:val="22"/>
                <w:szCs w:val="22"/>
              </w:rPr>
            </w:pPr>
            <w:r w:rsidRPr="00994BD8">
              <w:rPr>
                <w:rFonts w:ascii="Calibri" w:hAnsi="Calibri"/>
                <w:sz w:val="22"/>
                <w:szCs w:val="22"/>
              </w:rPr>
              <w:t>Urgent and emergency access to crisis care</w:t>
            </w:r>
          </w:p>
          <w:p w:rsidR="00EF089A" w:rsidRPr="00994BD8" w:rsidRDefault="00EF089A" w:rsidP="00EF089A">
            <w:pPr>
              <w:pStyle w:val="ListParagraph"/>
              <w:numPr>
                <w:ilvl w:val="0"/>
                <w:numId w:val="29"/>
              </w:numPr>
              <w:rPr>
                <w:rFonts w:ascii="Calibri" w:hAnsi="Calibri"/>
                <w:sz w:val="22"/>
                <w:szCs w:val="22"/>
              </w:rPr>
            </w:pPr>
            <w:r w:rsidRPr="00994BD8">
              <w:rPr>
                <w:rFonts w:ascii="Calibri" w:hAnsi="Calibri"/>
                <w:sz w:val="22"/>
                <w:szCs w:val="22"/>
              </w:rPr>
              <w:t>The right quality of treatment and care when in crisis</w:t>
            </w:r>
          </w:p>
          <w:p w:rsidR="00EF089A" w:rsidRPr="00994BD8" w:rsidRDefault="00EF089A" w:rsidP="00EF089A">
            <w:pPr>
              <w:pStyle w:val="ListParagraph"/>
              <w:numPr>
                <w:ilvl w:val="0"/>
                <w:numId w:val="29"/>
              </w:numPr>
              <w:rPr>
                <w:rFonts w:ascii="Calibri" w:hAnsi="Calibri"/>
                <w:sz w:val="22"/>
                <w:szCs w:val="22"/>
              </w:rPr>
            </w:pPr>
            <w:r w:rsidRPr="00994BD8">
              <w:rPr>
                <w:rFonts w:ascii="Calibri" w:hAnsi="Calibri"/>
                <w:sz w:val="22"/>
                <w:szCs w:val="22"/>
              </w:rPr>
              <w:t>Recovery and staying well, and preventing future crises</w:t>
            </w:r>
          </w:p>
          <w:p w:rsidR="00EF089A" w:rsidRPr="00994BD8" w:rsidRDefault="00EF089A" w:rsidP="00EF089A">
            <w:pPr>
              <w:pStyle w:val="ListParagraph"/>
              <w:rPr>
                <w:rFonts w:ascii="Calibri" w:hAnsi="Calibri"/>
                <w:sz w:val="22"/>
                <w:szCs w:val="22"/>
              </w:rPr>
            </w:pPr>
          </w:p>
          <w:p w:rsidR="00EF089A" w:rsidRPr="00994BD8" w:rsidRDefault="00EF089A" w:rsidP="00EF089A">
            <w:pPr>
              <w:rPr>
                <w:rFonts w:ascii="Calibri" w:hAnsi="Calibri"/>
                <w:sz w:val="22"/>
                <w:szCs w:val="22"/>
              </w:rPr>
            </w:pPr>
            <w:r w:rsidRPr="00994BD8">
              <w:rPr>
                <w:rFonts w:ascii="Calibri" w:hAnsi="Calibri"/>
                <w:sz w:val="22"/>
                <w:szCs w:val="22"/>
              </w:rPr>
              <w:t xml:space="preserve">The Concordat expects that, in every locality in England, partnerships of health, criminal justice and local authority agencies will agree and commit to local Mental Health Crisis Declarations. These will consist of commitments and actions at a local level that will deliver services that meet the principles of the national concordat.  </w:t>
            </w:r>
          </w:p>
          <w:p w:rsidR="00EF089A" w:rsidRPr="00994BD8" w:rsidRDefault="00EF089A" w:rsidP="00EF089A">
            <w:pPr>
              <w:rPr>
                <w:rFonts w:ascii="Calibri" w:hAnsi="Calibri"/>
                <w:sz w:val="22"/>
                <w:szCs w:val="22"/>
              </w:rPr>
            </w:pPr>
            <w:r w:rsidRPr="00994BD8">
              <w:rPr>
                <w:rFonts w:ascii="Calibri" w:hAnsi="Calibri"/>
                <w:sz w:val="22"/>
                <w:szCs w:val="22"/>
              </w:rPr>
              <w:t>The Concordat focuses on people who experience acute mental health crisis. It spans the health, social care and criminal justice systems, but is also relevant to other partners such as housing providers, and the third sector.  It defines the service responses expected for people of all ages suffering mental health crises. It takes into account the factors that can lead to a crisis, such as physical, psychological, spiritual, educational or social problems.</w:t>
            </w:r>
          </w:p>
          <w:p w:rsidR="00EF089A" w:rsidRPr="00994BD8" w:rsidRDefault="00EF089A" w:rsidP="00EF089A">
            <w:pPr>
              <w:rPr>
                <w:rFonts w:ascii="Calibri" w:hAnsi="Calibri"/>
                <w:sz w:val="22"/>
                <w:szCs w:val="22"/>
              </w:rPr>
            </w:pPr>
            <w:r w:rsidRPr="00994BD8">
              <w:rPr>
                <w:rFonts w:ascii="Calibri" w:hAnsi="Calibri"/>
                <w:sz w:val="22"/>
                <w:szCs w:val="22"/>
              </w:rPr>
              <w:t>Although the Concordat focuses on the responses to acute mental health crises, it also includes a section on prevention and intervention.</w:t>
            </w:r>
          </w:p>
          <w:p w:rsidR="00392FC3" w:rsidRPr="00EA46E7" w:rsidRDefault="00392FC3" w:rsidP="00207442">
            <w:pPr>
              <w:rPr>
                <w:rFonts w:ascii="Arial" w:hAnsi="Arial" w:cs="Arial"/>
                <w:bCs/>
                <w:sz w:val="20"/>
                <w:szCs w:val="20"/>
              </w:rPr>
            </w:pPr>
          </w:p>
        </w:tc>
      </w:tr>
    </w:tbl>
    <w:p w:rsidR="000D7558" w:rsidRDefault="000D7558">
      <w:pPr>
        <w:rPr>
          <w:rFonts w:ascii="Arial" w:hAnsi="Arial" w:cs="Arial"/>
          <w:b/>
          <w:bCs/>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3820"/>
      </w:tblGrid>
      <w:tr w:rsidR="000D7558" w:rsidRPr="00EB3A54" w:rsidTr="003C67F8">
        <w:tc>
          <w:tcPr>
            <w:tcW w:w="5360" w:type="dxa"/>
            <w:vMerge w:val="restart"/>
            <w:shd w:val="clear" w:color="auto" w:fill="D9D9D9"/>
          </w:tcPr>
          <w:p w:rsidR="000D7558" w:rsidRPr="00894101" w:rsidRDefault="000D7558" w:rsidP="003C67F8">
            <w:pPr>
              <w:jc w:val="center"/>
              <w:rPr>
                <w:rFonts w:ascii="Arial" w:hAnsi="Arial" w:cs="Arial"/>
                <w:b/>
                <w:iCs/>
                <w:sz w:val="22"/>
                <w:szCs w:val="22"/>
              </w:rPr>
            </w:pPr>
            <w:r w:rsidRPr="00894101">
              <w:rPr>
                <w:rFonts w:ascii="Arial" w:hAnsi="Arial" w:cs="Arial"/>
                <w:b/>
                <w:iCs/>
                <w:sz w:val="22"/>
                <w:szCs w:val="22"/>
              </w:rPr>
              <w:t>Project Status:</w:t>
            </w:r>
          </w:p>
        </w:tc>
        <w:tc>
          <w:tcPr>
            <w:tcW w:w="3820" w:type="dxa"/>
            <w:tcBorders>
              <w:bottom w:val="single" w:sz="4" w:space="0" w:color="auto"/>
            </w:tcBorders>
            <w:shd w:val="clear" w:color="auto" w:fill="00B050"/>
          </w:tcPr>
          <w:p w:rsidR="000D7558" w:rsidRPr="00EB3A54" w:rsidRDefault="000D7558" w:rsidP="003C67F8">
            <w:pPr>
              <w:pStyle w:val="Heading5"/>
              <w:rPr>
                <w:bCs/>
                <w:i w:val="0"/>
              </w:rPr>
            </w:pPr>
            <w:r w:rsidRPr="00EB3A54">
              <w:rPr>
                <w:bCs/>
                <w:i w:val="0"/>
              </w:rPr>
              <w:t xml:space="preserve">On schedule </w:t>
            </w:r>
            <w:r w:rsidRPr="00EB3A54">
              <w:rPr>
                <w:i w:val="0"/>
              </w:rPr>
              <w:sym w:font="Wingdings 2" w:char="F0A3"/>
            </w:r>
          </w:p>
        </w:tc>
      </w:tr>
      <w:tr w:rsidR="000D7558" w:rsidRPr="00EB3A54" w:rsidTr="003C67F8">
        <w:tc>
          <w:tcPr>
            <w:tcW w:w="5360" w:type="dxa"/>
            <w:vMerge/>
            <w:shd w:val="clear" w:color="auto" w:fill="D9D9D9"/>
          </w:tcPr>
          <w:p w:rsidR="000D7558" w:rsidRDefault="000D7558" w:rsidP="003C67F8">
            <w:pPr>
              <w:rPr>
                <w:rFonts w:ascii="Arial" w:hAnsi="Arial" w:cs="Arial"/>
                <w:i/>
                <w:iCs/>
                <w:sz w:val="20"/>
              </w:rPr>
            </w:pPr>
          </w:p>
        </w:tc>
        <w:tc>
          <w:tcPr>
            <w:tcW w:w="3820" w:type="dxa"/>
            <w:tcBorders>
              <w:bottom w:val="single" w:sz="4" w:space="0" w:color="auto"/>
            </w:tcBorders>
            <w:shd w:val="clear" w:color="auto" w:fill="FFFF00"/>
          </w:tcPr>
          <w:p w:rsidR="000D7558" w:rsidRPr="00EB3A54" w:rsidRDefault="000D7558" w:rsidP="003C67F8">
            <w:pPr>
              <w:pStyle w:val="Heading5"/>
              <w:rPr>
                <w:bCs/>
                <w:i w:val="0"/>
              </w:rPr>
            </w:pPr>
            <w:r>
              <w:rPr>
                <w:bCs/>
                <w:i w:val="0"/>
              </w:rPr>
              <w:t>Work Progressing</w:t>
            </w:r>
            <w:r w:rsidRPr="00EB3A54">
              <w:rPr>
                <w:bCs/>
                <w:i w:val="0"/>
              </w:rPr>
              <w:t xml:space="preserve"> </w:t>
            </w:r>
            <w:r w:rsidRPr="006B4406">
              <w:rPr>
                <w:bCs/>
                <w:i w:val="0"/>
                <w:sz w:val="24"/>
              </w:rPr>
              <w:t>x</w:t>
            </w:r>
          </w:p>
        </w:tc>
      </w:tr>
      <w:tr w:rsidR="000D7558" w:rsidRPr="00207442" w:rsidTr="003C67F8">
        <w:tc>
          <w:tcPr>
            <w:tcW w:w="5360" w:type="dxa"/>
            <w:vMerge/>
            <w:shd w:val="clear" w:color="auto" w:fill="D9D9D9"/>
          </w:tcPr>
          <w:p w:rsidR="000D7558" w:rsidRDefault="000D7558" w:rsidP="003C67F8">
            <w:pPr>
              <w:rPr>
                <w:rFonts w:ascii="Arial" w:hAnsi="Arial" w:cs="Arial"/>
                <w:i/>
                <w:iCs/>
                <w:sz w:val="20"/>
              </w:rPr>
            </w:pPr>
          </w:p>
        </w:tc>
        <w:tc>
          <w:tcPr>
            <w:tcW w:w="3820" w:type="dxa"/>
            <w:shd w:val="clear" w:color="auto" w:fill="FF0000"/>
          </w:tcPr>
          <w:p w:rsidR="000D7558" w:rsidRPr="00207442" w:rsidRDefault="000D7558" w:rsidP="003C67F8">
            <w:pPr>
              <w:pStyle w:val="Heading5"/>
              <w:rPr>
                <w:b/>
                <w:bCs/>
                <w:i w:val="0"/>
              </w:rPr>
            </w:pPr>
            <w:r w:rsidRPr="00207442">
              <w:rPr>
                <w:b/>
                <w:bCs/>
                <w:i w:val="0"/>
              </w:rPr>
              <w:t xml:space="preserve">Behind Schedule/ Reschedule </w:t>
            </w:r>
            <w:r w:rsidRPr="00EB3A54">
              <w:rPr>
                <w:i w:val="0"/>
              </w:rPr>
              <w:sym w:font="Wingdings 2" w:char="F0A3"/>
            </w:r>
          </w:p>
        </w:tc>
      </w:tr>
      <w:tr w:rsidR="000D7558" w:rsidRPr="00A201A7" w:rsidTr="003C67F8">
        <w:trPr>
          <w:cantSplit/>
        </w:trPr>
        <w:tc>
          <w:tcPr>
            <w:tcW w:w="9180" w:type="dxa"/>
            <w:gridSpan w:val="2"/>
          </w:tcPr>
          <w:p w:rsidR="000D7558" w:rsidRPr="00994BD8" w:rsidRDefault="000D7558" w:rsidP="003C67F8">
            <w:pPr>
              <w:rPr>
                <w:rFonts w:ascii="Calibri" w:hAnsi="Calibri"/>
                <w:sz w:val="22"/>
                <w:szCs w:val="22"/>
              </w:rPr>
            </w:pPr>
            <w:r w:rsidRPr="00994BD8">
              <w:rPr>
                <w:rFonts w:ascii="Calibri" w:hAnsi="Calibri"/>
                <w:sz w:val="22"/>
                <w:szCs w:val="22"/>
              </w:rPr>
              <w:t>A small group of professionals did the initial work but in October 2014 a Hampshire and Isle of Wight Crisis Concordat steering group was established.  An independent chair, Ros Cassy, has been appointed. The steering group has representation from all CCGs, NHSE, mental health and acute providers, local authorities, police, ambulance and third sector organisations. The group is accountable to the Hampshire, Southampton, Portsmouth and Isle of Wight Health and Wellbeing Boards.</w:t>
            </w:r>
          </w:p>
          <w:p w:rsidR="000D7558" w:rsidRPr="00994BD8" w:rsidRDefault="000D7558" w:rsidP="003C67F8">
            <w:pPr>
              <w:rPr>
                <w:rFonts w:ascii="Calibri" w:hAnsi="Calibri" w:cs="Arial"/>
                <w:sz w:val="22"/>
                <w:szCs w:val="22"/>
              </w:rPr>
            </w:pPr>
            <w:r w:rsidRPr="00994BD8">
              <w:rPr>
                <w:rFonts w:ascii="Calibri" w:hAnsi="Calibri" w:cs="Arial"/>
                <w:sz w:val="22"/>
                <w:szCs w:val="22"/>
              </w:rPr>
              <w:t>The steering group has successfully co-ordinated the completion of four Crisis Concordat declarations (one for each Health and Wellbeing Board area) within the national deadlines.</w:t>
            </w:r>
          </w:p>
          <w:p w:rsidR="000D7558" w:rsidRDefault="000D7558" w:rsidP="003C67F8">
            <w:pPr>
              <w:pStyle w:val="Heading4"/>
              <w:rPr>
                <w:rFonts w:ascii="Calibri" w:hAnsi="Calibri"/>
                <w:b w:val="0"/>
                <w:sz w:val="22"/>
                <w:szCs w:val="22"/>
              </w:rPr>
            </w:pPr>
            <w:r w:rsidRPr="00994BD8">
              <w:rPr>
                <w:rFonts w:ascii="Calibri" w:hAnsi="Calibri"/>
                <w:b w:val="0"/>
                <w:sz w:val="22"/>
                <w:szCs w:val="22"/>
              </w:rPr>
              <w:t>The steering group is now positively engaged in a gap analysis and development of actions to deliver the commitments made in the declarations. Priorities include:</w:t>
            </w:r>
          </w:p>
          <w:p w:rsidR="000D7558" w:rsidRDefault="000D7558" w:rsidP="000D7558">
            <w:pPr>
              <w:pStyle w:val="ListParagraph"/>
              <w:numPr>
                <w:ilvl w:val="0"/>
                <w:numId w:val="35"/>
              </w:numPr>
              <w:rPr>
                <w:rFonts w:asciiTheme="minorHAnsi" w:hAnsiTheme="minorHAnsi"/>
                <w:sz w:val="22"/>
                <w:szCs w:val="22"/>
              </w:rPr>
            </w:pPr>
            <w:r w:rsidRPr="000D7558">
              <w:rPr>
                <w:rFonts w:asciiTheme="minorHAnsi" w:hAnsiTheme="minorHAnsi"/>
                <w:sz w:val="22"/>
                <w:szCs w:val="22"/>
              </w:rPr>
              <w:t>Improving</w:t>
            </w:r>
            <w:r>
              <w:rPr>
                <w:rFonts w:asciiTheme="minorHAnsi" w:hAnsiTheme="minorHAnsi"/>
                <w:sz w:val="22"/>
                <w:szCs w:val="22"/>
              </w:rPr>
              <w:t xml:space="preserve"> out of hours access to and experience of mental health services</w:t>
            </w:r>
          </w:p>
          <w:p w:rsidR="000D7558" w:rsidRDefault="000D7558" w:rsidP="000D7558">
            <w:pPr>
              <w:pStyle w:val="ListParagraph"/>
              <w:numPr>
                <w:ilvl w:val="0"/>
                <w:numId w:val="35"/>
              </w:numPr>
              <w:rPr>
                <w:rFonts w:asciiTheme="minorHAnsi" w:hAnsiTheme="minorHAnsi"/>
                <w:sz w:val="22"/>
                <w:szCs w:val="22"/>
              </w:rPr>
            </w:pPr>
            <w:r>
              <w:rPr>
                <w:rFonts w:asciiTheme="minorHAnsi" w:hAnsiTheme="minorHAnsi"/>
                <w:sz w:val="22"/>
                <w:szCs w:val="22"/>
              </w:rPr>
              <w:t xml:space="preserve">Improving Emergency departments’ response to mental health crises </w:t>
            </w:r>
          </w:p>
          <w:p w:rsidR="000D7558" w:rsidRDefault="000D7558" w:rsidP="000D7558">
            <w:pPr>
              <w:pStyle w:val="Heading4"/>
              <w:keepNext w:val="0"/>
              <w:numPr>
                <w:ilvl w:val="0"/>
                <w:numId w:val="31"/>
              </w:numPr>
              <w:spacing w:before="120" w:after="120"/>
              <w:rPr>
                <w:rFonts w:ascii="Calibri" w:hAnsi="Calibri"/>
                <w:b w:val="0"/>
                <w:sz w:val="22"/>
                <w:szCs w:val="22"/>
              </w:rPr>
            </w:pPr>
            <w:r w:rsidRPr="006658DD">
              <w:rPr>
                <w:rFonts w:ascii="Calibri" w:hAnsi="Calibri"/>
                <w:b w:val="0"/>
                <w:sz w:val="22"/>
                <w:szCs w:val="22"/>
              </w:rPr>
              <w:t>Improved timeliness, experience and safety of response when people are detained under section 135 and 136 of the Mental Health Act 1983</w:t>
            </w:r>
          </w:p>
          <w:p w:rsidR="000D7558" w:rsidRPr="00994BD8" w:rsidRDefault="000D7558" w:rsidP="000D7558">
            <w:pPr>
              <w:pStyle w:val="Heading4"/>
              <w:keepNext w:val="0"/>
              <w:numPr>
                <w:ilvl w:val="0"/>
                <w:numId w:val="31"/>
              </w:numPr>
              <w:spacing w:before="120" w:after="120"/>
              <w:rPr>
                <w:rFonts w:ascii="Calibri" w:hAnsi="Calibri"/>
                <w:b w:val="0"/>
                <w:i/>
                <w:sz w:val="22"/>
                <w:szCs w:val="22"/>
              </w:rPr>
            </w:pPr>
            <w:r w:rsidRPr="00994BD8">
              <w:rPr>
                <w:rFonts w:ascii="Calibri" w:hAnsi="Calibri"/>
                <w:b w:val="0"/>
                <w:sz w:val="22"/>
                <w:szCs w:val="22"/>
              </w:rPr>
              <w:t>Improved services for those with co-existing mental health and substance misuse issues</w:t>
            </w:r>
          </w:p>
          <w:p w:rsidR="000D7558" w:rsidRPr="00994BD8" w:rsidRDefault="000D7558" w:rsidP="000D7558">
            <w:pPr>
              <w:pStyle w:val="Heading4"/>
              <w:keepNext w:val="0"/>
              <w:numPr>
                <w:ilvl w:val="0"/>
                <w:numId w:val="31"/>
              </w:numPr>
              <w:spacing w:before="120" w:after="120"/>
              <w:rPr>
                <w:rFonts w:ascii="Calibri" w:hAnsi="Calibri"/>
                <w:b w:val="0"/>
                <w:i/>
                <w:sz w:val="22"/>
                <w:szCs w:val="22"/>
              </w:rPr>
            </w:pPr>
            <w:r w:rsidRPr="00994BD8">
              <w:rPr>
                <w:rFonts w:ascii="Calibri" w:hAnsi="Calibri"/>
                <w:b w:val="0"/>
                <w:sz w:val="22"/>
                <w:szCs w:val="22"/>
              </w:rPr>
              <w:t>Manage triage enquiries for those experiencing mental health crisis via ‘111’ point of contact</w:t>
            </w:r>
          </w:p>
          <w:p w:rsidR="000D7558" w:rsidRDefault="000D7558" w:rsidP="000D7558">
            <w:pPr>
              <w:pStyle w:val="ListParagraph"/>
              <w:numPr>
                <w:ilvl w:val="0"/>
                <w:numId w:val="35"/>
              </w:numPr>
              <w:rPr>
                <w:rFonts w:asciiTheme="minorHAnsi" w:hAnsiTheme="minorHAnsi"/>
                <w:sz w:val="22"/>
                <w:szCs w:val="22"/>
              </w:rPr>
            </w:pPr>
            <w:r>
              <w:rPr>
                <w:rFonts w:asciiTheme="minorHAnsi" w:hAnsiTheme="minorHAnsi"/>
                <w:sz w:val="22"/>
                <w:szCs w:val="22"/>
              </w:rPr>
              <w:t>Improving multi-agency planning for prevention of crises</w:t>
            </w:r>
          </w:p>
          <w:p w:rsidR="000D7558" w:rsidRPr="000D7558" w:rsidRDefault="000D7558" w:rsidP="000D7558">
            <w:pPr>
              <w:pStyle w:val="ListParagraph"/>
              <w:rPr>
                <w:rFonts w:asciiTheme="minorHAnsi" w:hAnsiTheme="minorHAnsi"/>
                <w:sz w:val="22"/>
                <w:szCs w:val="22"/>
              </w:rPr>
            </w:pPr>
          </w:p>
          <w:p w:rsidR="000D7558" w:rsidRPr="00A201A7" w:rsidRDefault="000D7558" w:rsidP="003C67F8">
            <w:pPr>
              <w:rPr>
                <w:rFonts w:ascii="Arial" w:hAnsi="Arial" w:cs="Arial"/>
                <w:iCs/>
                <w:sz w:val="20"/>
              </w:rPr>
            </w:pPr>
          </w:p>
        </w:tc>
      </w:tr>
    </w:tbl>
    <w:p w:rsidR="000D7558" w:rsidRDefault="000D7558">
      <w:pPr>
        <w:rPr>
          <w:rFonts w:ascii="Arial" w:hAnsi="Arial" w:cs="Arial"/>
          <w:b/>
          <w:bCs/>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F342A">
        <w:trPr>
          <w:cantSplit/>
        </w:trPr>
        <w:tc>
          <w:tcPr>
            <w:tcW w:w="9180" w:type="dxa"/>
          </w:tcPr>
          <w:p w:rsidR="006658DD" w:rsidRDefault="000D7558">
            <w:pPr>
              <w:rPr>
                <w:rFonts w:ascii="Calibri" w:hAnsi="Calibri"/>
                <w:sz w:val="22"/>
                <w:szCs w:val="22"/>
              </w:rPr>
            </w:pPr>
            <w:r w:rsidRPr="00994BD8">
              <w:rPr>
                <w:rFonts w:ascii="Calibri" w:hAnsi="Calibri"/>
                <w:sz w:val="22"/>
                <w:szCs w:val="22"/>
              </w:rPr>
              <w:t>An event was held at Winchester Discovery centre 19</w:t>
            </w:r>
            <w:r w:rsidRPr="00994BD8">
              <w:rPr>
                <w:rFonts w:ascii="Calibri" w:hAnsi="Calibri"/>
                <w:sz w:val="22"/>
                <w:szCs w:val="22"/>
                <w:vertAlign w:val="superscript"/>
              </w:rPr>
              <w:t>th</w:t>
            </w:r>
            <w:r w:rsidRPr="00994BD8">
              <w:rPr>
                <w:rFonts w:ascii="Calibri" w:hAnsi="Calibri"/>
                <w:sz w:val="22"/>
                <w:szCs w:val="22"/>
              </w:rPr>
              <w:t xml:space="preserve"> June 2015 to officially    launch the Crisis Care Concordat across Southampton, Hampshire, Portsmouth and the Isle of Wight.  At this event local action groups were identified which will report into the Crisis Care Concordat steering group.</w:t>
            </w:r>
          </w:p>
          <w:p w:rsidR="000D7558" w:rsidRDefault="000D7558">
            <w:pPr>
              <w:rPr>
                <w:rFonts w:ascii="Calibri" w:hAnsi="Calibri"/>
                <w:sz w:val="22"/>
                <w:szCs w:val="22"/>
              </w:rPr>
            </w:pPr>
          </w:p>
          <w:p w:rsidR="000D7558" w:rsidRPr="00994BD8" w:rsidRDefault="000D7558" w:rsidP="000D7558">
            <w:pPr>
              <w:rPr>
                <w:rFonts w:ascii="Calibri" w:hAnsi="Calibri"/>
                <w:sz w:val="22"/>
                <w:szCs w:val="22"/>
              </w:rPr>
            </w:pPr>
            <w:r w:rsidRPr="00994BD8">
              <w:rPr>
                <w:rFonts w:ascii="Calibri" w:hAnsi="Calibri"/>
                <w:sz w:val="22"/>
                <w:szCs w:val="22"/>
              </w:rPr>
              <w:t>There are five local area groups all of which have a specific action plan which feeds into the overarching action plan for Hampshire and Isle of Wight. This will assist the implementation of local actions to improve crisis care for people who experience metal health crisis in the community.   The local groups which cover Hampshire are split geographically.  South East Hampshire and Portsmouth, North East Hampshire and North West Hampshire</w:t>
            </w:r>
          </w:p>
          <w:p w:rsidR="000D7558" w:rsidRDefault="000D7558">
            <w:pPr>
              <w:rPr>
                <w:rFonts w:ascii="Calibri" w:hAnsi="Calibri"/>
                <w:sz w:val="22"/>
                <w:szCs w:val="22"/>
              </w:rPr>
            </w:pPr>
          </w:p>
          <w:p w:rsidR="006658DD" w:rsidRDefault="00EE6FB7">
            <w:pPr>
              <w:rPr>
                <w:rFonts w:ascii="Calibri" w:hAnsi="Calibri"/>
                <w:sz w:val="22"/>
                <w:szCs w:val="22"/>
              </w:rPr>
            </w:pPr>
            <w:r>
              <w:rPr>
                <w:rFonts w:ascii="Calibri" w:hAnsi="Calibri"/>
                <w:sz w:val="22"/>
                <w:szCs w:val="22"/>
              </w:rPr>
              <w:t>All five local groups have now agreed on their basic action plan.  The action plans are live documents which can be added to and amended as the project progresses.</w:t>
            </w:r>
          </w:p>
          <w:p w:rsidR="00EE6FB7" w:rsidRDefault="00EE6FB7">
            <w:pPr>
              <w:rPr>
                <w:rFonts w:ascii="Calibri" w:hAnsi="Calibri"/>
                <w:sz w:val="22"/>
                <w:szCs w:val="22"/>
              </w:rPr>
            </w:pPr>
            <w:r>
              <w:rPr>
                <w:rFonts w:ascii="Calibri" w:hAnsi="Calibri"/>
                <w:sz w:val="22"/>
                <w:szCs w:val="22"/>
              </w:rPr>
              <w:t>Bi-monthly steering group meetings are taking place and have been well attended.  The core membership for this group has been agreed.</w:t>
            </w:r>
          </w:p>
          <w:p w:rsidR="00BF477B" w:rsidRDefault="00BF477B">
            <w:pPr>
              <w:rPr>
                <w:rFonts w:ascii="Calibri" w:hAnsi="Calibri"/>
                <w:sz w:val="22"/>
                <w:szCs w:val="22"/>
              </w:rPr>
            </w:pPr>
            <w:r>
              <w:rPr>
                <w:rFonts w:ascii="Calibri" w:hAnsi="Calibri"/>
                <w:sz w:val="22"/>
                <w:szCs w:val="22"/>
              </w:rPr>
              <w:t>Katy Bartolomeo presented a piece on the Crisis Care Concordat at the Southampton Health and Wellbeing board.  This was received well by the board.</w:t>
            </w:r>
          </w:p>
          <w:p w:rsidR="00EE6FB7" w:rsidRDefault="00EE6FB7">
            <w:pPr>
              <w:rPr>
                <w:rFonts w:ascii="Calibri" w:hAnsi="Calibri"/>
                <w:sz w:val="22"/>
                <w:szCs w:val="22"/>
              </w:rPr>
            </w:pPr>
            <w:r>
              <w:rPr>
                <w:rFonts w:ascii="Calibri" w:hAnsi="Calibri"/>
                <w:sz w:val="22"/>
                <w:szCs w:val="22"/>
              </w:rPr>
              <w:t>Paul Bartolomeo and Emily Holloway presented an update on the Crisis Care Concordat to the Hampshire Safeguarding Adults board.  This went well, the board were engaged and would like an update on progress in 2016.</w:t>
            </w:r>
          </w:p>
          <w:p w:rsidR="00EE6FB7" w:rsidRDefault="00EE6FB7">
            <w:pPr>
              <w:rPr>
                <w:rFonts w:ascii="Calibri" w:hAnsi="Calibri"/>
                <w:sz w:val="22"/>
                <w:szCs w:val="22"/>
              </w:rPr>
            </w:pPr>
            <w:r>
              <w:rPr>
                <w:rFonts w:ascii="Calibri" w:hAnsi="Calibri"/>
                <w:sz w:val="22"/>
                <w:szCs w:val="22"/>
              </w:rPr>
              <w:t xml:space="preserve">Ros Cassy and other members of the group attended the </w:t>
            </w:r>
            <w:r w:rsidR="00BF477B">
              <w:rPr>
                <w:rFonts w:ascii="Calibri" w:hAnsi="Calibri"/>
                <w:sz w:val="22"/>
                <w:szCs w:val="22"/>
              </w:rPr>
              <w:t xml:space="preserve">SHIP8 meeting.  The SHIP8 members were very keen to hear about progress of the Crisis Care Concordat.  They raised a number of points for the project to consider.  One area the SHIP8 were very keen on was to have one South East Hants and Portsmouth local area group.  This has now been achieved. </w:t>
            </w:r>
          </w:p>
          <w:p w:rsidR="004D0649" w:rsidRDefault="004D0649">
            <w:pPr>
              <w:rPr>
                <w:rFonts w:ascii="Calibri" w:hAnsi="Calibri"/>
                <w:sz w:val="22"/>
                <w:szCs w:val="22"/>
              </w:rPr>
            </w:pPr>
            <w:r>
              <w:rPr>
                <w:rFonts w:ascii="Calibri" w:hAnsi="Calibri"/>
                <w:sz w:val="22"/>
                <w:szCs w:val="22"/>
              </w:rPr>
              <w:t>The creation on the Crisis Care Concordat Charter has begun.  An initial planning meeting has been arranged for 11th January 2016.  There will then be a workshop event to start</w:t>
            </w:r>
            <w:r w:rsidR="008647CC">
              <w:rPr>
                <w:rFonts w:ascii="Calibri" w:hAnsi="Calibri"/>
                <w:sz w:val="22"/>
                <w:szCs w:val="22"/>
              </w:rPr>
              <w:t xml:space="preserve"> work on a co-produced charter, this will strengthen service user and carer input into developing appropriate crisis responses. </w:t>
            </w:r>
          </w:p>
          <w:p w:rsidR="000412F9" w:rsidRDefault="000412F9">
            <w:pPr>
              <w:rPr>
                <w:rFonts w:ascii="Calibri" w:hAnsi="Calibri"/>
                <w:sz w:val="22"/>
                <w:szCs w:val="22"/>
              </w:rPr>
            </w:pPr>
          </w:p>
          <w:p w:rsidR="000412F9" w:rsidRDefault="000412F9">
            <w:pPr>
              <w:rPr>
                <w:rFonts w:ascii="Calibri" w:hAnsi="Calibri"/>
                <w:sz w:val="22"/>
                <w:szCs w:val="22"/>
              </w:rPr>
            </w:pPr>
            <w:r>
              <w:rPr>
                <w:rFonts w:ascii="Calibri" w:hAnsi="Calibri"/>
                <w:sz w:val="22"/>
                <w:szCs w:val="22"/>
              </w:rPr>
              <w:t>The Crisis Care Concordat steering group is developing an integrated approach to supporting Children and Young People through membership of the local area groups.  The steering group also has good links with the Troubled Families agenda across the four local authorities in our area.</w:t>
            </w:r>
          </w:p>
          <w:p w:rsidR="000412F9" w:rsidRDefault="000412F9">
            <w:pPr>
              <w:rPr>
                <w:rFonts w:ascii="Calibri" w:hAnsi="Calibri"/>
                <w:sz w:val="22"/>
                <w:szCs w:val="22"/>
              </w:rPr>
            </w:pPr>
            <w:r>
              <w:rPr>
                <w:rFonts w:ascii="Calibri" w:hAnsi="Calibri"/>
                <w:sz w:val="22"/>
                <w:szCs w:val="22"/>
              </w:rPr>
              <w:t>Links are also being strengthened with Substance Misuse, Domestic Violence and Housing providers to take a holistic approach while supporting people in crisis.</w:t>
            </w:r>
          </w:p>
          <w:p w:rsidR="000412F9" w:rsidRDefault="000412F9">
            <w:pPr>
              <w:rPr>
                <w:rFonts w:ascii="Calibri" w:hAnsi="Calibri"/>
                <w:sz w:val="22"/>
                <w:szCs w:val="22"/>
              </w:rPr>
            </w:pPr>
          </w:p>
          <w:p w:rsidR="00BF477B" w:rsidRDefault="004D0649">
            <w:pPr>
              <w:rPr>
                <w:rFonts w:ascii="Calibri" w:hAnsi="Calibri"/>
                <w:sz w:val="22"/>
                <w:szCs w:val="22"/>
              </w:rPr>
            </w:pPr>
            <w:r>
              <w:rPr>
                <w:rFonts w:ascii="Calibri" w:hAnsi="Calibri"/>
                <w:sz w:val="22"/>
                <w:szCs w:val="22"/>
              </w:rPr>
              <w:t>Emily Holloway has visited Winchester and Aldershot</w:t>
            </w:r>
            <w:r w:rsidR="00CD1295">
              <w:rPr>
                <w:rFonts w:ascii="Calibri" w:hAnsi="Calibri"/>
                <w:sz w:val="22"/>
                <w:szCs w:val="22"/>
              </w:rPr>
              <w:t xml:space="preserve"> Wellbeing centres.  It is hoped that the Crisis Care Concordat can be part of the WIN (Wellbeing Implementation Network) agenda for early 2016, to allow good practice and information to be shared.</w:t>
            </w:r>
          </w:p>
          <w:p w:rsidR="006658DD" w:rsidRDefault="006658DD">
            <w:pPr>
              <w:rPr>
                <w:rFonts w:ascii="Arial" w:hAnsi="Arial" w:cs="Arial"/>
                <w:iCs/>
                <w:sz w:val="20"/>
              </w:rPr>
            </w:pPr>
          </w:p>
          <w:p w:rsidR="00CD1295" w:rsidRPr="00A201A7" w:rsidRDefault="00CD1295">
            <w:pPr>
              <w:rPr>
                <w:rFonts w:ascii="Arial" w:hAnsi="Arial" w:cs="Arial"/>
                <w:iCs/>
                <w:sz w:val="20"/>
              </w:rPr>
            </w:pPr>
          </w:p>
        </w:tc>
      </w:tr>
    </w:tbl>
    <w:p w:rsidR="006658DD" w:rsidRDefault="006658DD">
      <w:pPr>
        <w:rPr>
          <w:rFonts w:ascii="Arial" w:hAnsi="Arial" w:cs="Arial"/>
          <w:b/>
          <w:bCs/>
        </w:rPr>
      </w:pPr>
    </w:p>
    <w:p w:rsidR="006658DD" w:rsidRDefault="006658DD">
      <w:pPr>
        <w:rPr>
          <w:rFonts w:ascii="Arial" w:hAnsi="Arial" w:cs="Arial"/>
          <w:b/>
          <w:bCs/>
        </w:rPr>
      </w:pPr>
    </w:p>
    <w:tbl>
      <w:tblPr>
        <w:tblW w:w="103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111"/>
        <w:gridCol w:w="2977"/>
        <w:gridCol w:w="2169"/>
      </w:tblGrid>
      <w:tr w:rsidR="001D4C4C" w:rsidTr="00C43292">
        <w:trPr>
          <w:trHeight w:val="72"/>
        </w:trPr>
        <w:tc>
          <w:tcPr>
            <w:tcW w:w="1107" w:type="dxa"/>
            <w:shd w:val="clear" w:color="auto" w:fill="D9D9D9"/>
          </w:tcPr>
          <w:p w:rsidR="001D4C4C" w:rsidRPr="00360FD9" w:rsidRDefault="001D4C4C">
            <w:pPr>
              <w:rPr>
                <w:rFonts w:ascii="Arial" w:hAnsi="Arial" w:cs="Arial"/>
                <w:b/>
                <w:i/>
                <w:iCs/>
                <w:sz w:val="20"/>
              </w:rPr>
            </w:pPr>
            <w:r>
              <w:rPr>
                <w:rFonts w:ascii="Arial" w:hAnsi="Arial" w:cs="Arial"/>
                <w:b/>
                <w:i/>
                <w:iCs/>
                <w:sz w:val="20"/>
              </w:rPr>
              <w:t>Item no:</w:t>
            </w:r>
          </w:p>
        </w:tc>
        <w:tc>
          <w:tcPr>
            <w:tcW w:w="4111" w:type="dxa"/>
            <w:shd w:val="clear" w:color="auto" w:fill="D9D9D9"/>
          </w:tcPr>
          <w:p w:rsidR="001D4C4C" w:rsidRPr="00360FD9" w:rsidRDefault="001D4C4C" w:rsidP="009515B3">
            <w:pPr>
              <w:rPr>
                <w:rFonts w:ascii="Arial" w:hAnsi="Arial" w:cs="Arial"/>
                <w:b/>
                <w:i/>
                <w:iCs/>
                <w:sz w:val="20"/>
              </w:rPr>
            </w:pPr>
            <w:r w:rsidRPr="001D4C4C">
              <w:rPr>
                <w:rFonts w:ascii="Arial" w:hAnsi="Arial" w:cs="Arial"/>
                <w:b/>
                <w:i/>
                <w:iCs/>
                <w:sz w:val="20"/>
              </w:rPr>
              <w:t>Milestone:</w:t>
            </w:r>
          </w:p>
        </w:tc>
        <w:tc>
          <w:tcPr>
            <w:tcW w:w="2977" w:type="dxa"/>
            <w:shd w:val="clear" w:color="auto" w:fill="D9D9D9"/>
          </w:tcPr>
          <w:p w:rsidR="001D4C4C" w:rsidRPr="00054B77" w:rsidRDefault="001D4C4C">
            <w:pPr>
              <w:rPr>
                <w:rFonts w:ascii="Arial" w:hAnsi="Arial" w:cs="Arial"/>
                <w:b/>
                <w:i/>
                <w:iCs/>
                <w:sz w:val="20"/>
                <w:szCs w:val="20"/>
              </w:rPr>
            </w:pPr>
            <w:r w:rsidRPr="001D4C4C">
              <w:rPr>
                <w:rFonts w:ascii="Arial" w:hAnsi="Arial" w:cs="Arial"/>
                <w:b/>
                <w:i/>
                <w:iCs/>
                <w:sz w:val="20"/>
                <w:szCs w:val="20"/>
              </w:rPr>
              <w:t>Due date:</w:t>
            </w:r>
          </w:p>
        </w:tc>
        <w:tc>
          <w:tcPr>
            <w:tcW w:w="2169" w:type="dxa"/>
            <w:shd w:val="clear" w:color="auto" w:fill="D9D9D9"/>
          </w:tcPr>
          <w:p w:rsidR="001D4C4C" w:rsidRPr="00054B77" w:rsidRDefault="001D4C4C">
            <w:pPr>
              <w:rPr>
                <w:rFonts w:ascii="Arial" w:hAnsi="Arial" w:cs="Arial"/>
                <w:b/>
                <w:i/>
                <w:iCs/>
                <w:sz w:val="20"/>
                <w:szCs w:val="20"/>
              </w:rPr>
            </w:pPr>
            <w:r w:rsidRPr="00054B77">
              <w:rPr>
                <w:rFonts w:ascii="Arial" w:hAnsi="Arial" w:cs="Arial"/>
                <w:b/>
                <w:i/>
                <w:iCs/>
                <w:sz w:val="20"/>
                <w:szCs w:val="20"/>
              </w:rPr>
              <w:t>Status:</w:t>
            </w:r>
          </w:p>
        </w:tc>
      </w:tr>
      <w:tr w:rsidR="008647CC" w:rsidRPr="00FB1732" w:rsidTr="00C43292">
        <w:tc>
          <w:tcPr>
            <w:tcW w:w="1107" w:type="dxa"/>
          </w:tcPr>
          <w:p w:rsidR="008647CC" w:rsidRPr="00982D8F" w:rsidRDefault="008647CC" w:rsidP="00350782">
            <w:pPr>
              <w:rPr>
                <w:rFonts w:asciiTheme="minorHAnsi" w:hAnsiTheme="minorHAnsi" w:cs="Arial"/>
                <w:bCs/>
                <w:sz w:val="20"/>
                <w:szCs w:val="20"/>
              </w:rPr>
            </w:pPr>
          </w:p>
        </w:tc>
        <w:tc>
          <w:tcPr>
            <w:tcW w:w="4111" w:type="dxa"/>
          </w:tcPr>
          <w:p w:rsidR="008647CC" w:rsidRPr="00982D8F" w:rsidRDefault="008647CC" w:rsidP="00B25847">
            <w:pPr>
              <w:rPr>
                <w:rFonts w:asciiTheme="minorHAnsi" w:hAnsiTheme="minorHAnsi" w:cs="Arial"/>
                <w:bCs/>
                <w:sz w:val="20"/>
                <w:szCs w:val="20"/>
              </w:rPr>
            </w:pPr>
            <w:r>
              <w:rPr>
                <w:rFonts w:asciiTheme="minorHAnsi" w:hAnsiTheme="minorHAnsi" w:cs="Arial"/>
                <w:bCs/>
                <w:sz w:val="20"/>
                <w:szCs w:val="20"/>
              </w:rPr>
              <w:t>Right here right now</w:t>
            </w:r>
            <w:r w:rsidR="000412F9">
              <w:rPr>
                <w:rFonts w:asciiTheme="minorHAnsi" w:hAnsiTheme="minorHAnsi" w:cs="Arial"/>
                <w:bCs/>
                <w:sz w:val="20"/>
                <w:szCs w:val="20"/>
              </w:rPr>
              <w:t xml:space="preserve"> has been circulated to all members</w:t>
            </w:r>
          </w:p>
        </w:tc>
        <w:tc>
          <w:tcPr>
            <w:tcW w:w="2977" w:type="dxa"/>
          </w:tcPr>
          <w:p w:rsidR="008647CC" w:rsidRPr="00982D8F" w:rsidRDefault="008647CC" w:rsidP="00B25847">
            <w:pPr>
              <w:rPr>
                <w:rFonts w:asciiTheme="minorHAnsi" w:hAnsiTheme="minorHAnsi" w:cs="Arial"/>
                <w:bCs/>
                <w:sz w:val="20"/>
                <w:szCs w:val="20"/>
              </w:rPr>
            </w:pPr>
          </w:p>
        </w:tc>
        <w:tc>
          <w:tcPr>
            <w:tcW w:w="2169" w:type="dxa"/>
          </w:tcPr>
          <w:p w:rsidR="008647CC" w:rsidRPr="00982D8F" w:rsidRDefault="008647CC" w:rsidP="00725A66">
            <w:pPr>
              <w:rPr>
                <w:rFonts w:asciiTheme="minorHAnsi" w:hAnsiTheme="minorHAnsi" w:cs="Arial"/>
                <w:b/>
                <w:bCs/>
                <w:sz w:val="20"/>
                <w:szCs w:val="20"/>
              </w:rPr>
            </w:pPr>
            <w:r>
              <w:rPr>
                <w:rFonts w:asciiTheme="minorHAnsi" w:hAnsiTheme="minorHAnsi" w:cs="Arial"/>
                <w:b/>
                <w:bCs/>
                <w:sz w:val="20"/>
                <w:szCs w:val="20"/>
              </w:rPr>
              <w:t>Complete</w:t>
            </w:r>
          </w:p>
        </w:tc>
      </w:tr>
      <w:tr w:rsidR="001D4C4C" w:rsidRPr="00FB1732" w:rsidTr="00C43292">
        <w:tc>
          <w:tcPr>
            <w:tcW w:w="1107" w:type="dxa"/>
          </w:tcPr>
          <w:p w:rsidR="001D4C4C" w:rsidRPr="00982D8F" w:rsidRDefault="00826A9B" w:rsidP="00350782">
            <w:pPr>
              <w:rPr>
                <w:rFonts w:asciiTheme="minorHAnsi" w:hAnsiTheme="minorHAnsi" w:cs="Arial"/>
                <w:bCs/>
                <w:sz w:val="20"/>
                <w:szCs w:val="20"/>
              </w:rPr>
            </w:pPr>
            <w:r w:rsidRPr="00982D8F">
              <w:rPr>
                <w:rFonts w:asciiTheme="minorHAnsi" w:hAnsiTheme="minorHAnsi" w:cs="Arial"/>
                <w:bCs/>
                <w:sz w:val="20"/>
                <w:szCs w:val="20"/>
              </w:rPr>
              <w:t>1.3</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Appoint an independent chair of CCC Steering group</w:t>
            </w:r>
            <w:r w:rsidRPr="00982D8F">
              <w:rPr>
                <w:rFonts w:asciiTheme="minorHAnsi" w:hAnsiTheme="minorHAnsi" w:cs="Arial"/>
                <w:bCs/>
                <w:sz w:val="20"/>
                <w:szCs w:val="20"/>
              </w:rPr>
              <w:tab/>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December 2014</w:t>
            </w:r>
          </w:p>
        </w:tc>
        <w:tc>
          <w:tcPr>
            <w:tcW w:w="2169" w:type="dxa"/>
          </w:tcPr>
          <w:p w:rsidR="001D4C4C" w:rsidRPr="00982D8F" w:rsidRDefault="001D4C4C" w:rsidP="00725A66">
            <w:pPr>
              <w:rPr>
                <w:rFonts w:asciiTheme="minorHAnsi" w:hAnsiTheme="minorHAnsi" w:cs="Arial"/>
                <w:b/>
                <w:bCs/>
                <w:sz w:val="20"/>
                <w:szCs w:val="20"/>
              </w:rPr>
            </w:pPr>
            <w:r w:rsidRPr="00982D8F">
              <w:rPr>
                <w:rFonts w:asciiTheme="minorHAnsi" w:hAnsiTheme="minorHAnsi" w:cs="Arial"/>
                <w:b/>
                <w:bCs/>
                <w:sz w:val="20"/>
                <w:szCs w:val="20"/>
              </w:rPr>
              <w:t>Complete</w:t>
            </w:r>
          </w:p>
        </w:tc>
      </w:tr>
      <w:tr w:rsidR="00826A9B" w:rsidRPr="00FB1732" w:rsidTr="00C43292">
        <w:tc>
          <w:tcPr>
            <w:tcW w:w="1107" w:type="dxa"/>
          </w:tcPr>
          <w:p w:rsidR="00826A9B" w:rsidRPr="00982D8F" w:rsidRDefault="00826A9B" w:rsidP="00350782">
            <w:pPr>
              <w:rPr>
                <w:rFonts w:asciiTheme="minorHAnsi" w:hAnsiTheme="minorHAnsi" w:cs="Arial"/>
                <w:bCs/>
                <w:sz w:val="20"/>
                <w:szCs w:val="20"/>
              </w:rPr>
            </w:pPr>
            <w:r w:rsidRPr="00982D8F">
              <w:rPr>
                <w:rFonts w:asciiTheme="minorHAnsi" w:hAnsiTheme="minorHAnsi" w:cs="Arial"/>
                <w:bCs/>
                <w:sz w:val="20"/>
                <w:szCs w:val="20"/>
              </w:rPr>
              <w:t>1.6</w:t>
            </w:r>
          </w:p>
        </w:tc>
        <w:tc>
          <w:tcPr>
            <w:tcW w:w="4111" w:type="dxa"/>
          </w:tcPr>
          <w:p w:rsidR="00826A9B" w:rsidRPr="00982D8F" w:rsidRDefault="00826A9B" w:rsidP="00B25847">
            <w:pPr>
              <w:rPr>
                <w:rFonts w:asciiTheme="minorHAnsi" w:hAnsiTheme="minorHAnsi" w:cs="Arial"/>
                <w:bCs/>
                <w:sz w:val="20"/>
                <w:szCs w:val="20"/>
              </w:rPr>
            </w:pPr>
            <w:r w:rsidRPr="00982D8F">
              <w:rPr>
                <w:rFonts w:asciiTheme="minorHAnsi" w:hAnsiTheme="minorHAnsi" w:cs="Arial"/>
                <w:bCs/>
                <w:sz w:val="20"/>
                <w:szCs w:val="20"/>
              </w:rPr>
              <w:t xml:space="preserve">Area specific CCC declaration signed off by essential signatories </w:t>
            </w:r>
          </w:p>
        </w:tc>
        <w:tc>
          <w:tcPr>
            <w:tcW w:w="2977" w:type="dxa"/>
          </w:tcPr>
          <w:p w:rsidR="00826A9B" w:rsidRPr="00982D8F" w:rsidRDefault="00826A9B" w:rsidP="00B25847">
            <w:pPr>
              <w:rPr>
                <w:rFonts w:asciiTheme="minorHAnsi" w:hAnsiTheme="minorHAnsi" w:cs="Arial"/>
                <w:bCs/>
                <w:sz w:val="20"/>
                <w:szCs w:val="20"/>
              </w:rPr>
            </w:pPr>
            <w:r w:rsidRPr="00982D8F">
              <w:rPr>
                <w:rFonts w:asciiTheme="minorHAnsi" w:hAnsiTheme="minorHAnsi" w:cs="Arial"/>
                <w:bCs/>
                <w:sz w:val="20"/>
                <w:szCs w:val="20"/>
              </w:rPr>
              <w:t>December 2014</w:t>
            </w:r>
          </w:p>
        </w:tc>
        <w:tc>
          <w:tcPr>
            <w:tcW w:w="2169" w:type="dxa"/>
          </w:tcPr>
          <w:p w:rsidR="00826A9B" w:rsidRPr="00982D8F" w:rsidRDefault="00826A9B" w:rsidP="00725A66">
            <w:pPr>
              <w:rPr>
                <w:rFonts w:asciiTheme="minorHAnsi" w:hAnsiTheme="minorHAnsi" w:cs="Arial"/>
                <w:b/>
                <w:bCs/>
                <w:sz w:val="20"/>
                <w:szCs w:val="20"/>
              </w:rPr>
            </w:pPr>
            <w:r w:rsidRPr="00982D8F">
              <w:rPr>
                <w:rFonts w:asciiTheme="minorHAnsi" w:hAnsiTheme="minorHAnsi" w:cs="Arial"/>
                <w:b/>
                <w:bCs/>
                <w:sz w:val="20"/>
                <w:szCs w:val="20"/>
              </w:rPr>
              <w:t>Complete</w:t>
            </w:r>
          </w:p>
        </w:tc>
      </w:tr>
      <w:tr w:rsidR="001D4C4C" w:rsidRPr="00FB1732" w:rsidTr="00C43292">
        <w:tc>
          <w:tcPr>
            <w:tcW w:w="1107" w:type="dxa"/>
          </w:tcPr>
          <w:p w:rsidR="001D4C4C" w:rsidRPr="00982D8F" w:rsidRDefault="00826A9B" w:rsidP="00350782">
            <w:pPr>
              <w:rPr>
                <w:rFonts w:asciiTheme="minorHAnsi" w:hAnsiTheme="minorHAnsi" w:cs="Arial"/>
                <w:bCs/>
                <w:sz w:val="20"/>
                <w:szCs w:val="20"/>
              </w:rPr>
            </w:pPr>
            <w:r w:rsidRPr="00982D8F">
              <w:rPr>
                <w:rFonts w:asciiTheme="minorHAnsi" w:hAnsiTheme="minorHAnsi" w:cs="Arial"/>
                <w:bCs/>
                <w:sz w:val="20"/>
                <w:szCs w:val="20"/>
              </w:rPr>
              <w:t>3.</w:t>
            </w:r>
            <w:r w:rsidR="00C43292">
              <w:rPr>
                <w:rFonts w:asciiTheme="minorHAnsi" w:hAnsiTheme="minorHAnsi" w:cs="Arial"/>
                <w:bCs/>
                <w:sz w:val="20"/>
                <w:szCs w:val="20"/>
              </w:rPr>
              <w:t>5,6,7</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 xml:space="preserve">Review of </w:t>
            </w:r>
            <w:r w:rsidR="00826A9B" w:rsidRPr="00982D8F">
              <w:rPr>
                <w:rFonts w:asciiTheme="minorHAnsi" w:hAnsiTheme="minorHAnsi" w:cs="Arial"/>
                <w:bCs/>
                <w:sz w:val="20"/>
                <w:szCs w:val="20"/>
              </w:rPr>
              <w:t>s</w:t>
            </w:r>
            <w:r w:rsidRPr="00982D8F">
              <w:rPr>
                <w:rFonts w:asciiTheme="minorHAnsi" w:hAnsiTheme="minorHAnsi" w:cs="Arial"/>
                <w:bCs/>
                <w:sz w:val="20"/>
                <w:szCs w:val="20"/>
              </w:rPr>
              <w:t>1</w:t>
            </w:r>
            <w:r w:rsidR="00826A9B" w:rsidRPr="00982D8F">
              <w:rPr>
                <w:rFonts w:asciiTheme="minorHAnsi" w:hAnsiTheme="minorHAnsi" w:cs="Arial"/>
                <w:bCs/>
                <w:sz w:val="20"/>
                <w:szCs w:val="20"/>
              </w:rPr>
              <w:t>3</w:t>
            </w:r>
            <w:r w:rsidRPr="00982D8F">
              <w:rPr>
                <w:rFonts w:asciiTheme="minorHAnsi" w:hAnsiTheme="minorHAnsi" w:cs="Arial"/>
                <w:bCs/>
                <w:sz w:val="20"/>
                <w:szCs w:val="20"/>
              </w:rPr>
              <w:t>6 place of safety provision</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January 2015</w:t>
            </w:r>
          </w:p>
        </w:tc>
        <w:tc>
          <w:tcPr>
            <w:tcW w:w="2169" w:type="dxa"/>
          </w:tcPr>
          <w:p w:rsidR="001D4C4C" w:rsidRPr="00982D8F" w:rsidRDefault="001D4C4C" w:rsidP="00725A66">
            <w:pPr>
              <w:rPr>
                <w:rFonts w:asciiTheme="minorHAnsi" w:hAnsiTheme="minorHAnsi" w:cs="Arial"/>
                <w:b/>
                <w:bCs/>
                <w:sz w:val="20"/>
                <w:szCs w:val="20"/>
              </w:rPr>
            </w:pPr>
            <w:r w:rsidRPr="00982D8F">
              <w:rPr>
                <w:rFonts w:asciiTheme="minorHAnsi" w:hAnsiTheme="minorHAnsi" w:cs="Arial"/>
                <w:b/>
                <w:bCs/>
                <w:sz w:val="20"/>
                <w:szCs w:val="20"/>
              </w:rPr>
              <w:t>Complete</w:t>
            </w:r>
          </w:p>
        </w:tc>
      </w:tr>
      <w:tr w:rsidR="001D4C4C" w:rsidRPr="00FB1732" w:rsidTr="00C43292">
        <w:tc>
          <w:tcPr>
            <w:tcW w:w="1107" w:type="dxa"/>
          </w:tcPr>
          <w:p w:rsidR="001D4C4C" w:rsidRPr="00982D8F" w:rsidRDefault="00826A9B" w:rsidP="00350782">
            <w:pPr>
              <w:rPr>
                <w:rFonts w:asciiTheme="minorHAnsi" w:hAnsiTheme="minorHAnsi" w:cs="Arial"/>
                <w:bCs/>
                <w:sz w:val="20"/>
                <w:szCs w:val="20"/>
              </w:rPr>
            </w:pPr>
            <w:r w:rsidRPr="00982D8F">
              <w:rPr>
                <w:rFonts w:asciiTheme="minorHAnsi" w:hAnsiTheme="minorHAnsi" w:cs="Arial"/>
                <w:bCs/>
                <w:sz w:val="20"/>
                <w:szCs w:val="20"/>
              </w:rPr>
              <w:t>1.2</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Recruitment of CCC Project manager</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April 2015</w:t>
            </w:r>
          </w:p>
        </w:tc>
        <w:tc>
          <w:tcPr>
            <w:tcW w:w="2169" w:type="dxa"/>
          </w:tcPr>
          <w:p w:rsidR="001D4C4C" w:rsidRPr="00982D8F" w:rsidRDefault="001D4C4C" w:rsidP="00725A66">
            <w:pPr>
              <w:rPr>
                <w:rFonts w:asciiTheme="minorHAnsi" w:hAnsiTheme="minorHAnsi" w:cs="Arial"/>
                <w:b/>
                <w:bCs/>
                <w:sz w:val="20"/>
                <w:szCs w:val="20"/>
              </w:rPr>
            </w:pPr>
            <w:r w:rsidRPr="00982D8F">
              <w:rPr>
                <w:rFonts w:asciiTheme="minorHAnsi" w:hAnsiTheme="minorHAnsi" w:cs="Arial"/>
                <w:b/>
                <w:bCs/>
                <w:sz w:val="20"/>
                <w:szCs w:val="20"/>
              </w:rPr>
              <w:t>Complete</w:t>
            </w:r>
          </w:p>
        </w:tc>
      </w:tr>
      <w:tr w:rsidR="001D4C4C" w:rsidRPr="00FB1732" w:rsidTr="00C43292">
        <w:tc>
          <w:tcPr>
            <w:tcW w:w="1107" w:type="dxa"/>
          </w:tcPr>
          <w:p w:rsidR="001D4C4C" w:rsidRPr="00982D8F" w:rsidRDefault="00826A9B" w:rsidP="00880BA7">
            <w:pPr>
              <w:rPr>
                <w:rFonts w:asciiTheme="minorHAnsi" w:hAnsiTheme="minorHAnsi" w:cs="Arial"/>
                <w:bCs/>
                <w:sz w:val="20"/>
                <w:szCs w:val="20"/>
              </w:rPr>
            </w:pPr>
            <w:r w:rsidRPr="00982D8F">
              <w:rPr>
                <w:rFonts w:asciiTheme="minorHAnsi" w:hAnsiTheme="minorHAnsi" w:cs="Arial"/>
                <w:bCs/>
                <w:sz w:val="20"/>
                <w:szCs w:val="20"/>
              </w:rPr>
              <w:t>1.4</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Development of “ageless” strategy</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October 2015</w:t>
            </w:r>
          </w:p>
        </w:tc>
        <w:tc>
          <w:tcPr>
            <w:tcW w:w="2169" w:type="dxa"/>
          </w:tcPr>
          <w:p w:rsidR="001D4C4C" w:rsidRPr="00982D8F" w:rsidRDefault="001D4C4C" w:rsidP="00725A66">
            <w:pPr>
              <w:rPr>
                <w:rFonts w:asciiTheme="minorHAnsi" w:hAnsiTheme="minorHAnsi" w:cs="Arial"/>
                <w:b/>
                <w:bCs/>
                <w:sz w:val="20"/>
                <w:szCs w:val="20"/>
              </w:rPr>
            </w:pPr>
            <w:r w:rsidRPr="00982D8F">
              <w:rPr>
                <w:rFonts w:asciiTheme="minorHAnsi" w:hAnsiTheme="minorHAnsi" w:cs="Arial"/>
                <w:b/>
                <w:bCs/>
                <w:sz w:val="20"/>
                <w:szCs w:val="20"/>
              </w:rPr>
              <w:t xml:space="preserve">Near Completion </w:t>
            </w:r>
          </w:p>
        </w:tc>
      </w:tr>
      <w:tr w:rsidR="001D4C4C" w:rsidRPr="00FB1732" w:rsidTr="00C43292">
        <w:tc>
          <w:tcPr>
            <w:tcW w:w="1107" w:type="dxa"/>
          </w:tcPr>
          <w:p w:rsidR="001D4C4C" w:rsidRPr="00982D8F" w:rsidRDefault="001D4C4C" w:rsidP="00735E5E">
            <w:pPr>
              <w:rPr>
                <w:rFonts w:asciiTheme="minorHAnsi" w:hAnsiTheme="minorHAnsi" w:cs="Arial"/>
                <w:bCs/>
                <w:sz w:val="20"/>
                <w:szCs w:val="20"/>
              </w:rPr>
            </w:pP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Launch CCC across Hampshire</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June 2015</w:t>
            </w:r>
          </w:p>
        </w:tc>
        <w:tc>
          <w:tcPr>
            <w:tcW w:w="2169" w:type="dxa"/>
          </w:tcPr>
          <w:p w:rsidR="001D4C4C" w:rsidRPr="00982D8F" w:rsidRDefault="001D4C4C" w:rsidP="00735E5E">
            <w:pPr>
              <w:rPr>
                <w:rFonts w:asciiTheme="minorHAnsi" w:hAnsiTheme="minorHAnsi" w:cs="Arial"/>
                <w:b/>
                <w:bCs/>
                <w:sz w:val="20"/>
                <w:szCs w:val="20"/>
              </w:rPr>
            </w:pPr>
            <w:r w:rsidRPr="00982D8F">
              <w:rPr>
                <w:rFonts w:asciiTheme="minorHAnsi" w:hAnsiTheme="minorHAnsi" w:cs="Arial"/>
                <w:b/>
                <w:bCs/>
                <w:sz w:val="20"/>
                <w:szCs w:val="20"/>
              </w:rPr>
              <w:t>Complete</w:t>
            </w:r>
          </w:p>
        </w:tc>
      </w:tr>
      <w:tr w:rsidR="001D4C4C" w:rsidRPr="00FB1732" w:rsidTr="00C43292">
        <w:tc>
          <w:tcPr>
            <w:tcW w:w="1107" w:type="dxa"/>
          </w:tcPr>
          <w:p w:rsidR="001D4C4C" w:rsidRPr="00982D8F" w:rsidRDefault="001D4C4C" w:rsidP="00735E5E">
            <w:pPr>
              <w:rPr>
                <w:rFonts w:asciiTheme="minorHAnsi" w:hAnsiTheme="minorHAnsi" w:cs="Arial"/>
                <w:bCs/>
                <w:sz w:val="20"/>
                <w:szCs w:val="20"/>
              </w:rPr>
            </w:pP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Establish local area groups</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August 2015</w:t>
            </w:r>
          </w:p>
        </w:tc>
        <w:tc>
          <w:tcPr>
            <w:tcW w:w="2169" w:type="dxa"/>
          </w:tcPr>
          <w:p w:rsidR="001D4C4C" w:rsidRPr="00982D8F" w:rsidRDefault="001D4C4C" w:rsidP="00735E5E">
            <w:pPr>
              <w:rPr>
                <w:rFonts w:asciiTheme="minorHAnsi" w:hAnsiTheme="minorHAnsi" w:cs="Arial"/>
                <w:b/>
                <w:bCs/>
                <w:sz w:val="20"/>
                <w:szCs w:val="20"/>
              </w:rPr>
            </w:pPr>
            <w:r w:rsidRPr="00982D8F">
              <w:rPr>
                <w:rFonts w:asciiTheme="minorHAnsi" w:hAnsiTheme="minorHAnsi" w:cs="Arial"/>
                <w:b/>
                <w:bCs/>
                <w:sz w:val="20"/>
                <w:szCs w:val="20"/>
              </w:rPr>
              <w:t>Complete</w:t>
            </w:r>
          </w:p>
        </w:tc>
      </w:tr>
      <w:tr w:rsidR="001D4C4C" w:rsidRPr="00FB1732" w:rsidTr="00C43292">
        <w:tc>
          <w:tcPr>
            <w:tcW w:w="1107" w:type="dxa"/>
          </w:tcPr>
          <w:p w:rsidR="001D4C4C" w:rsidRPr="00982D8F" w:rsidRDefault="00826A9B" w:rsidP="00725A66">
            <w:pPr>
              <w:rPr>
                <w:rFonts w:asciiTheme="minorHAnsi" w:hAnsiTheme="minorHAnsi" w:cs="Arial"/>
                <w:bCs/>
                <w:sz w:val="20"/>
                <w:szCs w:val="20"/>
              </w:rPr>
            </w:pPr>
            <w:r w:rsidRPr="00982D8F">
              <w:rPr>
                <w:rFonts w:asciiTheme="minorHAnsi" w:hAnsiTheme="minorHAnsi" w:cs="Arial"/>
                <w:bCs/>
                <w:sz w:val="20"/>
                <w:szCs w:val="20"/>
              </w:rPr>
              <w:t>1.8</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Local area groups form local area action plans</w:t>
            </w:r>
          </w:p>
        </w:tc>
        <w:tc>
          <w:tcPr>
            <w:tcW w:w="2977" w:type="dxa"/>
          </w:tcPr>
          <w:p w:rsidR="001D4C4C" w:rsidRPr="00982D8F" w:rsidRDefault="00C43292" w:rsidP="00B25847">
            <w:pPr>
              <w:rPr>
                <w:rFonts w:asciiTheme="minorHAnsi" w:hAnsiTheme="minorHAnsi" w:cs="Arial"/>
                <w:bCs/>
                <w:sz w:val="20"/>
                <w:szCs w:val="20"/>
              </w:rPr>
            </w:pPr>
            <w:r>
              <w:rPr>
                <w:rFonts w:asciiTheme="minorHAnsi" w:hAnsiTheme="minorHAnsi" w:cs="Arial"/>
                <w:bCs/>
                <w:sz w:val="20"/>
                <w:szCs w:val="20"/>
              </w:rPr>
              <w:t>October</w:t>
            </w:r>
            <w:r w:rsidR="001D4C4C" w:rsidRPr="00982D8F">
              <w:rPr>
                <w:rFonts w:asciiTheme="minorHAnsi" w:hAnsiTheme="minorHAnsi" w:cs="Arial"/>
                <w:bCs/>
                <w:sz w:val="20"/>
                <w:szCs w:val="20"/>
              </w:rPr>
              <w:t xml:space="preserve"> 2015</w:t>
            </w:r>
          </w:p>
        </w:tc>
        <w:tc>
          <w:tcPr>
            <w:tcW w:w="2169" w:type="dxa"/>
          </w:tcPr>
          <w:p w:rsidR="001D4C4C" w:rsidRPr="00982D8F" w:rsidRDefault="00C43292" w:rsidP="00725A66">
            <w:pPr>
              <w:rPr>
                <w:rFonts w:asciiTheme="minorHAnsi" w:hAnsiTheme="minorHAnsi" w:cs="Arial"/>
                <w:b/>
                <w:bCs/>
                <w:sz w:val="20"/>
                <w:szCs w:val="20"/>
              </w:rPr>
            </w:pPr>
            <w:r>
              <w:rPr>
                <w:rFonts w:asciiTheme="minorHAnsi" w:hAnsiTheme="minorHAnsi" w:cs="Arial"/>
                <w:b/>
                <w:bCs/>
                <w:sz w:val="20"/>
                <w:szCs w:val="20"/>
              </w:rPr>
              <w:t>Complete</w:t>
            </w:r>
          </w:p>
        </w:tc>
      </w:tr>
      <w:tr w:rsidR="001D4C4C" w:rsidRPr="00FB1732" w:rsidTr="00C43292">
        <w:tc>
          <w:tcPr>
            <w:tcW w:w="1107" w:type="dxa"/>
          </w:tcPr>
          <w:p w:rsidR="001D4C4C" w:rsidRPr="00982D8F" w:rsidRDefault="001D4C4C" w:rsidP="00725A66">
            <w:pPr>
              <w:rPr>
                <w:rFonts w:asciiTheme="minorHAnsi" w:hAnsiTheme="minorHAnsi" w:cs="Arial"/>
                <w:bCs/>
                <w:sz w:val="20"/>
                <w:szCs w:val="20"/>
              </w:rPr>
            </w:pP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Process mapping of current crisis pathway</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December 2015</w:t>
            </w:r>
          </w:p>
        </w:tc>
        <w:tc>
          <w:tcPr>
            <w:tcW w:w="2169" w:type="dxa"/>
          </w:tcPr>
          <w:p w:rsidR="001D4C4C" w:rsidRPr="00982D8F" w:rsidRDefault="001D4C4C" w:rsidP="00725A66">
            <w:pPr>
              <w:rPr>
                <w:rFonts w:asciiTheme="minorHAnsi" w:hAnsiTheme="minorHAnsi" w:cs="Arial"/>
                <w:b/>
                <w:bCs/>
                <w:sz w:val="20"/>
                <w:szCs w:val="20"/>
              </w:rPr>
            </w:pPr>
            <w:r w:rsidRPr="00982D8F">
              <w:rPr>
                <w:rFonts w:asciiTheme="minorHAnsi" w:hAnsiTheme="minorHAnsi" w:cs="Arial"/>
                <w:b/>
                <w:bCs/>
                <w:sz w:val="20"/>
                <w:szCs w:val="20"/>
              </w:rPr>
              <w:t>Underway</w:t>
            </w:r>
          </w:p>
        </w:tc>
      </w:tr>
      <w:tr w:rsidR="001D4C4C" w:rsidRPr="00FB1732" w:rsidTr="00C43292">
        <w:tc>
          <w:tcPr>
            <w:tcW w:w="1107" w:type="dxa"/>
          </w:tcPr>
          <w:p w:rsidR="001D4C4C" w:rsidRPr="00982D8F" w:rsidRDefault="00C43292" w:rsidP="00880BA7">
            <w:pPr>
              <w:rPr>
                <w:rFonts w:asciiTheme="minorHAnsi" w:hAnsiTheme="minorHAnsi" w:cs="Arial"/>
                <w:bCs/>
                <w:sz w:val="20"/>
                <w:szCs w:val="20"/>
              </w:rPr>
            </w:pPr>
            <w:r>
              <w:rPr>
                <w:rFonts w:asciiTheme="minorHAnsi" w:hAnsiTheme="minorHAnsi" w:cs="Arial"/>
                <w:bCs/>
                <w:sz w:val="20"/>
                <w:szCs w:val="20"/>
              </w:rPr>
              <w:t>4.5</w:t>
            </w:r>
          </w:p>
        </w:tc>
        <w:tc>
          <w:tcPr>
            <w:tcW w:w="4111"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Agree minimum data set</w:t>
            </w:r>
          </w:p>
        </w:tc>
        <w:tc>
          <w:tcPr>
            <w:tcW w:w="2977" w:type="dxa"/>
          </w:tcPr>
          <w:p w:rsidR="001D4C4C" w:rsidRPr="00982D8F" w:rsidRDefault="001D4C4C" w:rsidP="00B25847">
            <w:pPr>
              <w:rPr>
                <w:rFonts w:asciiTheme="minorHAnsi" w:hAnsiTheme="minorHAnsi" w:cs="Arial"/>
                <w:bCs/>
                <w:sz w:val="20"/>
                <w:szCs w:val="20"/>
              </w:rPr>
            </w:pPr>
            <w:r w:rsidRPr="00982D8F">
              <w:rPr>
                <w:rFonts w:asciiTheme="minorHAnsi" w:hAnsiTheme="minorHAnsi" w:cs="Arial"/>
                <w:bCs/>
                <w:sz w:val="20"/>
                <w:szCs w:val="20"/>
              </w:rPr>
              <w:t>December/January 2015</w:t>
            </w:r>
          </w:p>
        </w:tc>
        <w:tc>
          <w:tcPr>
            <w:tcW w:w="2169" w:type="dxa"/>
          </w:tcPr>
          <w:p w:rsidR="001D4C4C" w:rsidRPr="00982D8F" w:rsidRDefault="008647CC" w:rsidP="00725A66">
            <w:pPr>
              <w:rPr>
                <w:rFonts w:asciiTheme="minorHAnsi" w:hAnsiTheme="minorHAnsi" w:cs="Arial"/>
                <w:b/>
                <w:bCs/>
                <w:sz w:val="20"/>
                <w:szCs w:val="20"/>
              </w:rPr>
            </w:pPr>
            <w:r>
              <w:rPr>
                <w:rFonts w:asciiTheme="minorHAnsi" w:hAnsiTheme="minorHAnsi" w:cs="Arial"/>
                <w:b/>
                <w:bCs/>
                <w:sz w:val="20"/>
                <w:szCs w:val="20"/>
              </w:rPr>
              <w:t>Underway</w:t>
            </w:r>
          </w:p>
        </w:tc>
      </w:tr>
      <w:tr w:rsidR="001D4C4C" w:rsidRPr="00FB1732" w:rsidTr="00C43292">
        <w:tc>
          <w:tcPr>
            <w:tcW w:w="1107" w:type="dxa"/>
          </w:tcPr>
          <w:p w:rsidR="001D4C4C" w:rsidRPr="00982D8F" w:rsidRDefault="0001310C" w:rsidP="002C56C5">
            <w:pPr>
              <w:rPr>
                <w:rFonts w:asciiTheme="minorHAnsi" w:hAnsiTheme="minorHAnsi" w:cs="Arial"/>
                <w:sz w:val="20"/>
                <w:szCs w:val="20"/>
              </w:rPr>
            </w:pPr>
            <w:r w:rsidRPr="00982D8F">
              <w:rPr>
                <w:rFonts w:asciiTheme="minorHAnsi" w:hAnsiTheme="minorHAnsi" w:cs="Arial"/>
                <w:sz w:val="20"/>
                <w:szCs w:val="20"/>
              </w:rPr>
              <w:t>1.7</w:t>
            </w:r>
          </w:p>
        </w:tc>
        <w:tc>
          <w:tcPr>
            <w:tcW w:w="4111" w:type="dxa"/>
          </w:tcPr>
          <w:p w:rsidR="001D4C4C" w:rsidRPr="00982D8F" w:rsidRDefault="001D4C4C" w:rsidP="002C56C5">
            <w:pPr>
              <w:rPr>
                <w:rFonts w:asciiTheme="minorHAnsi" w:hAnsiTheme="minorHAnsi" w:cs="Arial"/>
                <w:sz w:val="20"/>
                <w:szCs w:val="20"/>
              </w:rPr>
            </w:pPr>
            <w:r w:rsidRPr="00982D8F">
              <w:rPr>
                <w:rFonts w:asciiTheme="minorHAnsi" w:hAnsiTheme="minorHAnsi" w:cs="Arial"/>
                <w:sz w:val="20"/>
                <w:szCs w:val="20"/>
              </w:rPr>
              <w:t>Identify team training needs</w:t>
            </w:r>
          </w:p>
        </w:tc>
        <w:tc>
          <w:tcPr>
            <w:tcW w:w="2977" w:type="dxa"/>
          </w:tcPr>
          <w:p w:rsidR="001D4C4C" w:rsidRPr="00982D8F" w:rsidRDefault="001D4C4C" w:rsidP="002C56C5">
            <w:pPr>
              <w:rPr>
                <w:rFonts w:asciiTheme="minorHAnsi" w:hAnsiTheme="minorHAnsi" w:cs="Arial"/>
                <w:sz w:val="20"/>
                <w:szCs w:val="20"/>
              </w:rPr>
            </w:pPr>
            <w:r w:rsidRPr="00982D8F">
              <w:rPr>
                <w:rFonts w:asciiTheme="minorHAnsi" w:hAnsiTheme="minorHAnsi" w:cs="Arial"/>
                <w:sz w:val="20"/>
                <w:szCs w:val="20"/>
              </w:rPr>
              <w:t>September 2015</w:t>
            </w:r>
          </w:p>
        </w:tc>
        <w:tc>
          <w:tcPr>
            <w:tcW w:w="2169" w:type="dxa"/>
          </w:tcPr>
          <w:p w:rsidR="001D4C4C" w:rsidRPr="00982D8F" w:rsidRDefault="008647CC" w:rsidP="002C56C5">
            <w:pPr>
              <w:rPr>
                <w:rFonts w:asciiTheme="minorHAnsi" w:hAnsiTheme="minorHAnsi" w:cs="Arial"/>
                <w:b/>
                <w:sz w:val="20"/>
                <w:szCs w:val="20"/>
              </w:rPr>
            </w:pPr>
            <w:r>
              <w:rPr>
                <w:rFonts w:asciiTheme="minorHAnsi" w:hAnsiTheme="minorHAnsi" w:cs="Arial"/>
                <w:b/>
                <w:bCs/>
                <w:sz w:val="20"/>
                <w:szCs w:val="20"/>
              </w:rPr>
              <w:t>Underway</w:t>
            </w:r>
          </w:p>
        </w:tc>
      </w:tr>
      <w:tr w:rsidR="001D4C4C" w:rsidRPr="00FB1732" w:rsidTr="00C43292">
        <w:tc>
          <w:tcPr>
            <w:tcW w:w="1107" w:type="dxa"/>
          </w:tcPr>
          <w:p w:rsidR="001D4C4C" w:rsidRPr="00982D8F" w:rsidRDefault="00826A9B" w:rsidP="002C56C5">
            <w:pPr>
              <w:rPr>
                <w:rFonts w:asciiTheme="minorHAnsi" w:hAnsiTheme="minorHAnsi" w:cs="Arial"/>
                <w:sz w:val="20"/>
                <w:szCs w:val="20"/>
              </w:rPr>
            </w:pPr>
            <w:r w:rsidRPr="00982D8F">
              <w:rPr>
                <w:rFonts w:asciiTheme="minorHAnsi" w:hAnsiTheme="minorHAnsi" w:cs="Arial"/>
                <w:sz w:val="20"/>
                <w:szCs w:val="20"/>
              </w:rPr>
              <w:t>2.2</w:t>
            </w:r>
          </w:p>
        </w:tc>
        <w:tc>
          <w:tcPr>
            <w:tcW w:w="4111" w:type="dxa"/>
          </w:tcPr>
          <w:p w:rsidR="001D4C4C" w:rsidRPr="00982D8F" w:rsidRDefault="00826A9B" w:rsidP="002C56C5">
            <w:pPr>
              <w:rPr>
                <w:rFonts w:asciiTheme="minorHAnsi" w:hAnsiTheme="minorHAnsi" w:cs="Arial"/>
                <w:sz w:val="20"/>
                <w:szCs w:val="20"/>
              </w:rPr>
            </w:pPr>
            <w:r w:rsidRPr="00982D8F">
              <w:rPr>
                <w:rFonts w:asciiTheme="minorHAnsi" w:hAnsiTheme="minorHAnsi" w:cs="Arial"/>
                <w:sz w:val="20"/>
                <w:szCs w:val="20"/>
              </w:rPr>
              <w:t xml:space="preserve">Shared learning from </w:t>
            </w:r>
            <w:r w:rsidR="001D4C4C" w:rsidRPr="00982D8F">
              <w:rPr>
                <w:rFonts w:asciiTheme="minorHAnsi" w:hAnsiTheme="minorHAnsi" w:cs="Arial"/>
                <w:sz w:val="20"/>
                <w:szCs w:val="20"/>
              </w:rPr>
              <w:t>Wellbeing centre</w:t>
            </w:r>
            <w:r w:rsidRPr="00982D8F">
              <w:rPr>
                <w:rFonts w:asciiTheme="minorHAnsi" w:hAnsiTheme="minorHAnsi" w:cs="Arial"/>
                <w:sz w:val="20"/>
                <w:szCs w:val="20"/>
              </w:rPr>
              <w:t>s</w:t>
            </w:r>
          </w:p>
        </w:tc>
        <w:tc>
          <w:tcPr>
            <w:tcW w:w="2977" w:type="dxa"/>
          </w:tcPr>
          <w:p w:rsidR="001D4C4C" w:rsidRPr="00982D8F" w:rsidRDefault="001D4C4C" w:rsidP="002C56C5">
            <w:pPr>
              <w:rPr>
                <w:rFonts w:asciiTheme="minorHAnsi" w:hAnsiTheme="minorHAnsi" w:cs="Arial"/>
                <w:sz w:val="20"/>
                <w:szCs w:val="20"/>
              </w:rPr>
            </w:pPr>
            <w:r w:rsidRPr="00982D8F">
              <w:rPr>
                <w:rFonts w:asciiTheme="minorHAnsi" w:hAnsiTheme="minorHAnsi" w:cs="Arial"/>
                <w:sz w:val="20"/>
                <w:szCs w:val="20"/>
              </w:rPr>
              <w:t>September 2015</w:t>
            </w:r>
          </w:p>
        </w:tc>
        <w:tc>
          <w:tcPr>
            <w:tcW w:w="2169" w:type="dxa"/>
          </w:tcPr>
          <w:p w:rsidR="001D4C4C" w:rsidRPr="00982D8F" w:rsidRDefault="008647CC" w:rsidP="002C56C5">
            <w:pPr>
              <w:rPr>
                <w:rFonts w:asciiTheme="minorHAnsi" w:hAnsiTheme="minorHAnsi" w:cs="Arial"/>
                <w:b/>
                <w:sz w:val="20"/>
                <w:szCs w:val="20"/>
              </w:rPr>
            </w:pPr>
            <w:r>
              <w:rPr>
                <w:rFonts w:asciiTheme="minorHAnsi" w:hAnsiTheme="minorHAnsi" w:cs="Arial"/>
                <w:b/>
                <w:bCs/>
                <w:sz w:val="20"/>
                <w:szCs w:val="20"/>
              </w:rPr>
              <w:t>Feb ’16 agenda</w:t>
            </w:r>
          </w:p>
        </w:tc>
      </w:tr>
      <w:tr w:rsidR="00C43292" w:rsidRPr="00FB1732" w:rsidTr="00C43292">
        <w:tc>
          <w:tcPr>
            <w:tcW w:w="1107"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2.1 &amp;3.10</w:t>
            </w:r>
          </w:p>
        </w:tc>
        <w:tc>
          <w:tcPr>
            <w:tcW w:w="4111"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Creation of CCC Charter</w:t>
            </w:r>
          </w:p>
        </w:tc>
        <w:tc>
          <w:tcPr>
            <w:tcW w:w="2977"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December 2015</w:t>
            </w:r>
          </w:p>
        </w:tc>
        <w:tc>
          <w:tcPr>
            <w:tcW w:w="2169" w:type="dxa"/>
          </w:tcPr>
          <w:p w:rsidR="00C43292" w:rsidRPr="00982D8F" w:rsidRDefault="008647CC" w:rsidP="002C56C5">
            <w:pPr>
              <w:rPr>
                <w:rFonts w:asciiTheme="minorHAnsi" w:hAnsiTheme="minorHAnsi" w:cs="Arial"/>
                <w:b/>
                <w:bCs/>
                <w:sz w:val="20"/>
                <w:szCs w:val="20"/>
              </w:rPr>
            </w:pPr>
            <w:r>
              <w:rPr>
                <w:rFonts w:asciiTheme="minorHAnsi" w:hAnsiTheme="minorHAnsi" w:cs="Arial"/>
                <w:b/>
                <w:bCs/>
                <w:sz w:val="20"/>
                <w:szCs w:val="20"/>
              </w:rPr>
              <w:t>Underway</w:t>
            </w:r>
          </w:p>
        </w:tc>
      </w:tr>
      <w:tr w:rsidR="00C43292" w:rsidRPr="00FB1732" w:rsidTr="00C43292">
        <w:tc>
          <w:tcPr>
            <w:tcW w:w="1107"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2.3</w:t>
            </w:r>
          </w:p>
        </w:tc>
        <w:tc>
          <w:tcPr>
            <w:tcW w:w="4111"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Management of triage enquiries through 111</w:t>
            </w:r>
          </w:p>
        </w:tc>
        <w:tc>
          <w:tcPr>
            <w:tcW w:w="2977" w:type="dxa"/>
          </w:tcPr>
          <w:p w:rsidR="00C43292" w:rsidRPr="00982D8F" w:rsidRDefault="00C43292" w:rsidP="002C56C5">
            <w:pPr>
              <w:rPr>
                <w:rFonts w:asciiTheme="minorHAnsi" w:hAnsiTheme="minorHAnsi" w:cs="Arial"/>
                <w:sz w:val="20"/>
                <w:szCs w:val="20"/>
              </w:rPr>
            </w:pPr>
            <w:r>
              <w:rPr>
                <w:rFonts w:asciiTheme="minorHAnsi" w:hAnsiTheme="minorHAnsi" w:cs="Arial"/>
                <w:sz w:val="20"/>
                <w:szCs w:val="20"/>
              </w:rPr>
              <w:t>December 2015</w:t>
            </w:r>
          </w:p>
        </w:tc>
        <w:tc>
          <w:tcPr>
            <w:tcW w:w="2169" w:type="dxa"/>
          </w:tcPr>
          <w:p w:rsidR="00C43292" w:rsidRPr="00982D8F" w:rsidRDefault="00C43292" w:rsidP="002C56C5">
            <w:pPr>
              <w:rPr>
                <w:rFonts w:asciiTheme="minorHAnsi" w:hAnsiTheme="minorHAnsi" w:cs="Arial"/>
                <w:b/>
                <w:bCs/>
                <w:sz w:val="20"/>
                <w:szCs w:val="20"/>
              </w:rPr>
            </w:pPr>
            <w:r>
              <w:rPr>
                <w:rFonts w:asciiTheme="minorHAnsi" w:hAnsiTheme="minorHAnsi" w:cs="Arial"/>
                <w:b/>
                <w:bCs/>
                <w:sz w:val="20"/>
                <w:szCs w:val="20"/>
              </w:rPr>
              <w:t>Underway-999 not 111</w:t>
            </w:r>
          </w:p>
        </w:tc>
      </w:tr>
      <w:tr w:rsidR="00C43292" w:rsidRPr="00FB1732" w:rsidTr="00C43292">
        <w:tc>
          <w:tcPr>
            <w:tcW w:w="1107" w:type="dxa"/>
          </w:tcPr>
          <w:p w:rsidR="00C43292" w:rsidRPr="00982D8F" w:rsidRDefault="00C43292" w:rsidP="002C56C5">
            <w:pPr>
              <w:rPr>
                <w:rFonts w:asciiTheme="minorHAnsi" w:hAnsiTheme="minorHAnsi" w:cs="Arial"/>
                <w:sz w:val="20"/>
                <w:szCs w:val="20"/>
              </w:rPr>
            </w:pPr>
          </w:p>
        </w:tc>
        <w:tc>
          <w:tcPr>
            <w:tcW w:w="4111" w:type="dxa"/>
          </w:tcPr>
          <w:p w:rsidR="00C43292" w:rsidRPr="00982D8F" w:rsidRDefault="008B1DC9" w:rsidP="002C56C5">
            <w:pPr>
              <w:rPr>
                <w:rFonts w:asciiTheme="minorHAnsi" w:hAnsiTheme="minorHAnsi" w:cs="Arial"/>
                <w:sz w:val="20"/>
                <w:szCs w:val="20"/>
              </w:rPr>
            </w:pPr>
            <w:r>
              <w:rPr>
                <w:rFonts w:asciiTheme="minorHAnsi" w:hAnsiTheme="minorHAnsi" w:cs="Arial"/>
                <w:sz w:val="20"/>
                <w:szCs w:val="20"/>
              </w:rPr>
              <w:t>Map of Crisis services/providers</w:t>
            </w:r>
          </w:p>
        </w:tc>
        <w:tc>
          <w:tcPr>
            <w:tcW w:w="2977" w:type="dxa"/>
          </w:tcPr>
          <w:p w:rsidR="00C43292" w:rsidRPr="00982D8F" w:rsidRDefault="00C43292" w:rsidP="002C56C5">
            <w:pPr>
              <w:rPr>
                <w:rFonts w:asciiTheme="minorHAnsi" w:hAnsiTheme="minorHAnsi" w:cs="Arial"/>
                <w:sz w:val="20"/>
                <w:szCs w:val="20"/>
              </w:rPr>
            </w:pPr>
          </w:p>
        </w:tc>
        <w:tc>
          <w:tcPr>
            <w:tcW w:w="2169" w:type="dxa"/>
          </w:tcPr>
          <w:p w:rsidR="00C43292" w:rsidRPr="00982D8F" w:rsidRDefault="008B1DC9" w:rsidP="002C56C5">
            <w:pPr>
              <w:rPr>
                <w:rFonts w:asciiTheme="minorHAnsi" w:hAnsiTheme="minorHAnsi" w:cs="Arial"/>
                <w:b/>
                <w:bCs/>
                <w:sz w:val="20"/>
                <w:szCs w:val="20"/>
              </w:rPr>
            </w:pPr>
            <w:r>
              <w:rPr>
                <w:rFonts w:asciiTheme="minorHAnsi" w:hAnsiTheme="minorHAnsi" w:cs="Arial"/>
                <w:b/>
                <w:bCs/>
                <w:sz w:val="20"/>
                <w:szCs w:val="20"/>
              </w:rPr>
              <w:t>Complete</w:t>
            </w:r>
          </w:p>
        </w:tc>
      </w:tr>
    </w:tbl>
    <w:p w:rsidR="00880BA7" w:rsidRPr="00FB1732" w:rsidRDefault="00880BA7">
      <w:pPr>
        <w:rPr>
          <w:rFonts w:ascii="Arial" w:hAnsi="Arial" w:cs="Arial"/>
          <w:b/>
          <w:bCs/>
          <w:sz w:val="20"/>
          <w:szCs w:val="20"/>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3F342A" w:rsidRPr="00FB1732" w:rsidTr="00AA70BF">
        <w:tc>
          <w:tcPr>
            <w:tcW w:w="9187" w:type="dxa"/>
            <w:shd w:val="clear" w:color="auto" w:fill="D9D9D9"/>
          </w:tcPr>
          <w:p w:rsidR="003F342A" w:rsidRPr="0001310C" w:rsidRDefault="00C11666" w:rsidP="00575181">
            <w:pPr>
              <w:rPr>
                <w:rFonts w:ascii="Arial" w:hAnsi="Arial" w:cs="Arial"/>
                <w:i/>
                <w:iCs/>
                <w:sz w:val="22"/>
                <w:szCs w:val="22"/>
              </w:rPr>
            </w:pPr>
            <w:r w:rsidRPr="0001310C">
              <w:rPr>
                <w:rFonts w:ascii="Arial" w:hAnsi="Arial" w:cs="Arial"/>
                <w:b/>
                <w:i/>
                <w:iCs/>
                <w:sz w:val="22"/>
                <w:szCs w:val="22"/>
              </w:rPr>
              <w:t>Progress</w:t>
            </w:r>
            <w:r w:rsidR="00623D37" w:rsidRPr="0001310C">
              <w:rPr>
                <w:rFonts w:ascii="Arial" w:hAnsi="Arial" w:cs="Arial"/>
                <w:b/>
                <w:i/>
                <w:iCs/>
                <w:sz w:val="22"/>
                <w:szCs w:val="22"/>
              </w:rPr>
              <w:t xml:space="preserve"> </w:t>
            </w:r>
            <w:r w:rsidR="00575181">
              <w:rPr>
                <w:rFonts w:ascii="Arial" w:hAnsi="Arial" w:cs="Arial"/>
                <w:b/>
                <w:i/>
                <w:iCs/>
                <w:sz w:val="22"/>
                <w:szCs w:val="22"/>
              </w:rPr>
              <w:t>June-December 2015</w:t>
            </w:r>
            <w:r w:rsidR="003F342A" w:rsidRPr="0001310C">
              <w:rPr>
                <w:rFonts w:ascii="Arial" w:hAnsi="Arial" w:cs="Arial"/>
                <w:i/>
                <w:iCs/>
                <w:sz w:val="22"/>
                <w:szCs w:val="22"/>
              </w:rPr>
              <w:t>:</w:t>
            </w:r>
          </w:p>
        </w:tc>
      </w:tr>
      <w:tr w:rsidR="003F342A" w:rsidRPr="002B6859" w:rsidTr="00894101">
        <w:trPr>
          <w:trHeight w:val="720"/>
        </w:trPr>
        <w:tc>
          <w:tcPr>
            <w:tcW w:w="9187" w:type="dxa"/>
          </w:tcPr>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The Crisis Care Concordat was officially launched across Hampshire (including Southampton), Portsmouth and IOW 19</w:t>
            </w:r>
            <w:r w:rsidRPr="00982D8F">
              <w:rPr>
                <w:rFonts w:ascii="Calibri" w:hAnsi="Calibri" w:cs="Arial"/>
                <w:bCs/>
                <w:sz w:val="22"/>
                <w:szCs w:val="22"/>
                <w:vertAlign w:val="superscript"/>
              </w:rPr>
              <w:t>th</w:t>
            </w:r>
            <w:r w:rsidRPr="00982D8F">
              <w:rPr>
                <w:rFonts w:ascii="Calibri" w:hAnsi="Calibri" w:cs="Arial"/>
                <w:bCs/>
                <w:sz w:val="22"/>
                <w:szCs w:val="22"/>
              </w:rPr>
              <w:t xml:space="preserve"> June 2015.</w:t>
            </w:r>
          </w:p>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Five local area groups have been established and are working on individual area action plans.</w:t>
            </w:r>
          </w:p>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A strategy is being developed which outline the intentions of the Crisis Care Concordat across Hampshire, Portsmouth and IOW.</w:t>
            </w:r>
          </w:p>
          <w:p w:rsidR="00575181" w:rsidRPr="00575181" w:rsidRDefault="00575181" w:rsidP="00575181">
            <w:pPr>
              <w:pStyle w:val="ListParagraph"/>
              <w:rPr>
                <w:rFonts w:ascii="Calibri" w:hAnsi="Calibri" w:cs="Arial"/>
                <w:bCs/>
                <w:sz w:val="22"/>
                <w:szCs w:val="22"/>
              </w:rPr>
            </w:pPr>
          </w:p>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It has been agreed that all partner agencies will work within the framework of the Hampshire Safeguarding Adults Information Sharing policy.</w:t>
            </w:r>
          </w:p>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 xml:space="preserve">Process mapping of the journey through the Crisis services has begun.  This will help to inform gap analysis of the current system and shape future crisis services. </w:t>
            </w:r>
          </w:p>
          <w:p w:rsidR="00575181" w:rsidRPr="00575181" w:rsidRDefault="00575181" w:rsidP="00575181">
            <w:pPr>
              <w:pStyle w:val="ListParagraph"/>
              <w:numPr>
                <w:ilvl w:val="0"/>
                <w:numId w:val="35"/>
              </w:numPr>
              <w:rPr>
                <w:rFonts w:ascii="Calibri" w:hAnsi="Calibri" w:cs="Arial"/>
                <w:bCs/>
                <w:sz w:val="22"/>
                <w:szCs w:val="22"/>
              </w:rPr>
            </w:pPr>
            <w:r w:rsidRPr="00982D8F">
              <w:rPr>
                <w:rFonts w:ascii="Calibri" w:hAnsi="Calibri" w:cs="Arial"/>
                <w:bCs/>
                <w:sz w:val="22"/>
                <w:szCs w:val="22"/>
              </w:rPr>
              <w:t>The creation of a Crisis Care Concordat strategy is near completion.</w:t>
            </w:r>
          </w:p>
          <w:p w:rsidR="00575181" w:rsidRDefault="00575181" w:rsidP="00575181">
            <w:pPr>
              <w:numPr>
                <w:ilvl w:val="0"/>
                <w:numId w:val="35"/>
              </w:numPr>
              <w:rPr>
                <w:rFonts w:ascii="Calibri" w:hAnsi="Calibri" w:cs="Arial"/>
                <w:bCs/>
                <w:sz w:val="22"/>
                <w:szCs w:val="22"/>
              </w:rPr>
            </w:pPr>
            <w:r w:rsidRPr="00982D8F">
              <w:rPr>
                <w:rFonts w:ascii="Calibri" w:hAnsi="Calibri" w:cs="Arial"/>
                <w:bCs/>
                <w:sz w:val="22"/>
                <w:szCs w:val="22"/>
              </w:rPr>
              <w:t xml:space="preserve">Five local area groups have been established and </w:t>
            </w:r>
            <w:r>
              <w:rPr>
                <w:rFonts w:ascii="Calibri" w:hAnsi="Calibri" w:cs="Arial"/>
                <w:bCs/>
                <w:sz w:val="22"/>
                <w:szCs w:val="22"/>
              </w:rPr>
              <w:t>have agreed</w:t>
            </w:r>
            <w:r w:rsidRPr="00982D8F">
              <w:rPr>
                <w:rFonts w:ascii="Calibri" w:hAnsi="Calibri" w:cs="Arial"/>
                <w:bCs/>
                <w:sz w:val="22"/>
                <w:szCs w:val="22"/>
              </w:rPr>
              <w:t xml:space="preserve"> on individual area action plans.</w:t>
            </w:r>
          </w:p>
          <w:p w:rsidR="00575181" w:rsidRPr="00982D8F" w:rsidRDefault="00575181" w:rsidP="00575181">
            <w:pPr>
              <w:numPr>
                <w:ilvl w:val="0"/>
                <w:numId w:val="35"/>
              </w:numPr>
              <w:rPr>
                <w:rFonts w:ascii="Calibri" w:hAnsi="Calibri" w:cs="Arial"/>
                <w:bCs/>
                <w:sz w:val="22"/>
                <w:szCs w:val="22"/>
              </w:rPr>
            </w:pPr>
            <w:r>
              <w:rPr>
                <w:rFonts w:ascii="Calibri" w:hAnsi="Calibri" w:cs="Arial"/>
                <w:bCs/>
                <w:sz w:val="22"/>
                <w:szCs w:val="22"/>
              </w:rPr>
              <w:t>Crisis Care Concordat presented at Southampton HWB</w:t>
            </w:r>
          </w:p>
          <w:p w:rsidR="00575181" w:rsidRPr="00982D8F" w:rsidRDefault="00575181" w:rsidP="00575181">
            <w:pPr>
              <w:numPr>
                <w:ilvl w:val="0"/>
                <w:numId w:val="35"/>
              </w:numPr>
              <w:rPr>
                <w:rFonts w:ascii="Calibri" w:hAnsi="Calibri" w:cs="Arial"/>
                <w:bCs/>
                <w:sz w:val="22"/>
                <w:szCs w:val="22"/>
              </w:rPr>
            </w:pPr>
            <w:r>
              <w:rPr>
                <w:rFonts w:ascii="Calibri" w:hAnsi="Calibri" w:cs="Arial"/>
                <w:bCs/>
                <w:sz w:val="22"/>
                <w:szCs w:val="22"/>
              </w:rPr>
              <w:t>Crisis Care Concordat presented at Hampshire Safeguarding Adults Board</w:t>
            </w:r>
          </w:p>
          <w:p w:rsidR="00575181" w:rsidRPr="004D0649" w:rsidRDefault="00575181" w:rsidP="00575181">
            <w:pPr>
              <w:numPr>
                <w:ilvl w:val="0"/>
                <w:numId w:val="35"/>
              </w:numPr>
              <w:rPr>
                <w:rFonts w:ascii="Calibri" w:hAnsi="Calibri" w:cs="Arial"/>
                <w:bCs/>
                <w:sz w:val="22"/>
                <w:szCs w:val="22"/>
              </w:rPr>
            </w:pPr>
            <w:r>
              <w:rPr>
                <w:rFonts w:ascii="Calibri" w:hAnsi="Calibri" w:cs="Arial"/>
                <w:bCs/>
                <w:sz w:val="22"/>
                <w:szCs w:val="22"/>
              </w:rPr>
              <w:t>Crisis Care Concordat presented at SHIP8 meeting</w:t>
            </w:r>
          </w:p>
          <w:p w:rsidR="00575181" w:rsidRPr="00982D8F" w:rsidRDefault="00575181" w:rsidP="00575181">
            <w:pPr>
              <w:numPr>
                <w:ilvl w:val="0"/>
                <w:numId w:val="35"/>
              </w:numPr>
              <w:rPr>
                <w:rFonts w:ascii="Calibri" w:hAnsi="Calibri" w:cs="Arial"/>
                <w:bCs/>
                <w:sz w:val="22"/>
                <w:szCs w:val="22"/>
              </w:rPr>
            </w:pPr>
            <w:r w:rsidRPr="00982D8F">
              <w:rPr>
                <w:rFonts w:ascii="Calibri" w:hAnsi="Calibri" w:cs="Arial"/>
                <w:bCs/>
                <w:sz w:val="22"/>
                <w:szCs w:val="22"/>
              </w:rPr>
              <w:t>It has been agreed that all partner agencies will work within the framework of the Hampshire Safeguarding Adults Information Sharing policy.</w:t>
            </w:r>
          </w:p>
          <w:p w:rsidR="0008214E" w:rsidRPr="00982D8F" w:rsidRDefault="0008214E" w:rsidP="00575181">
            <w:pPr>
              <w:numPr>
                <w:ilvl w:val="0"/>
                <w:numId w:val="35"/>
              </w:numPr>
              <w:rPr>
                <w:rFonts w:ascii="Calibri" w:hAnsi="Calibri" w:cs="Arial"/>
                <w:bCs/>
                <w:sz w:val="22"/>
                <w:szCs w:val="22"/>
              </w:rPr>
            </w:pPr>
            <w:r w:rsidRPr="00982D8F">
              <w:rPr>
                <w:rFonts w:ascii="Calibri" w:hAnsi="Calibri" w:cs="Arial"/>
                <w:bCs/>
                <w:sz w:val="22"/>
                <w:szCs w:val="22"/>
              </w:rPr>
              <w:t xml:space="preserve">Process mapping of the journey through the Crisis services has begun.  This will help to inform gap analysis of the current system and shape future crisis services. </w:t>
            </w:r>
          </w:p>
          <w:p w:rsidR="001D4C4C" w:rsidRDefault="001D4C4C" w:rsidP="00575181">
            <w:pPr>
              <w:numPr>
                <w:ilvl w:val="0"/>
                <w:numId w:val="35"/>
              </w:numPr>
              <w:rPr>
                <w:rFonts w:ascii="Calibri" w:hAnsi="Calibri" w:cs="Arial"/>
                <w:bCs/>
                <w:sz w:val="22"/>
                <w:szCs w:val="22"/>
              </w:rPr>
            </w:pPr>
            <w:r w:rsidRPr="00982D8F">
              <w:rPr>
                <w:rFonts w:ascii="Calibri" w:hAnsi="Calibri" w:cs="Arial"/>
                <w:bCs/>
                <w:sz w:val="22"/>
                <w:szCs w:val="22"/>
              </w:rPr>
              <w:t>The creation of a Crisis Care Concordat strategy is near completion.</w:t>
            </w:r>
          </w:p>
          <w:p w:rsidR="008B1DC9" w:rsidRDefault="008B1DC9" w:rsidP="00575181">
            <w:pPr>
              <w:numPr>
                <w:ilvl w:val="0"/>
                <w:numId w:val="35"/>
              </w:numPr>
              <w:rPr>
                <w:rFonts w:ascii="Calibri" w:hAnsi="Calibri" w:cs="Arial"/>
                <w:bCs/>
                <w:sz w:val="22"/>
                <w:szCs w:val="22"/>
              </w:rPr>
            </w:pPr>
            <w:r>
              <w:rPr>
                <w:rFonts w:ascii="Calibri" w:hAnsi="Calibri" w:cs="Arial"/>
                <w:bCs/>
                <w:sz w:val="22"/>
                <w:szCs w:val="22"/>
              </w:rPr>
              <w:t>Creation of the Crisis service/provider map is complete.</w:t>
            </w:r>
          </w:p>
          <w:p w:rsidR="000412F9" w:rsidRPr="00982D8F" w:rsidRDefault="000412F9" w:rsidP="00575181">
            <w:pPr>
              <w:numPr>
                <w:ilvl w:val="0"/>
                <w:numId w:val="35"/>
              </w:numPr>
              <w:rPr>
                <w:rFonts w:ascii="Calibri" w:hAnsi="Calibri" w:cs="Arial"/>
                <w:bCs/>
                <w:sz w:val="22"/>
                <w:szCs w:val="22"/>
              </w:rPr>
            </w:pPr>
            <w:r>
              <w:rPr>
                <w:rFonts w:ascii="Calibri" w:hAnsi="Calibri" w:cs="Arial"/>
                <w:bCs/>
                <w:sz w:val="22"/>
                <w:szCs w:val="22"/>
              </w:rPr>
              <w:t>Work is underway to produce a governance chart for each local area, this will give clarity of the inter-agency links for service users, carers and partners of the Concordat.</w:t>
            </w:r>
          </w:p>
          <w:p w:rsidR="003B7C55" w:rsidRPr="00982D8F" w:rsidRDefault="003B7C55" w:rsidP="00626A92">
            <w:pPr>
              <w:ind w:left="720"/>
              <w:rPr>
                <w:rFonts w:ascii="Calibri" w:hAnsi="Calibri" w:cs="Arial"/>
                <w:b/>
                <w:bCs/>
                <w:sz w:val="22"/>
                <w:szCs w:val="22"/>
              </w:rPr>
            </w:pPr>
            <w:r w:rsidRPr="00982D8F">
              <w:rPr>
                <w:rFonts w:ascii="Calibri" w:hAnsi="Calibri" w:cs="Arial"/>
                <w:b/>
                <w:bCs/>
                <w:sz w:val="22"/>
                <w:szCs w:val="22"/>
              </w:rPr>
              <w:t>Outcomes of the Crisis Concordat work to date:</w:t>
            </w:r>
          </w:p>
          <w:p w:rsidR="00626A92" w:rsidRPr="00982D8F" w:rsidRDefault="003B7C55" w:rsidP="00575181">
            <w:pPr>
              <w:numPr>
                <w:ilvl w:val="0"/>
                <w:numId w:val="35"/>
              </w:numPr>
              <w:rPr>
                <w:rFonts w:ascii="Calibri" w:hAnsi="Calibri" w:cs="Arial"/>
                <w:bCs/>
                <w:sz w:val="22"/>
                <w:szCs w:val="22"/>
              </w:rPr>
            </w:pPr>
            <w:r w:rsidRPr="00982D8F">
              <w:rPr>
                <w:rFonts w:ascii="Calibri" w:hAnsi="Calibri" w:cs="Arial"/>
                <w:sz w:val="22"/>
                <w:szCs w:val="22"/>
              </w:rPr>
              <w:t xml:space="preserve">83% </w:t>
            </w:r>
            <w:r w:rsidR="00626A92" w:rsidRPr="00982D8F">
              <w:rPr>
                <w:rFonts w:ascii="Calibri" w:hAnsi="Calibri" w:cs="Arial"/>
                <w:sz w:val="22"/>
                <w:szCs w:val="22"/>
              </w:rPr>
              <w:t>r</w:t>
            </w:r>
            <w:r w:rsidRPr="00982D8F">
              <w:rPr>
                <w:rFonts w:ascii="Calibri" w:hAnsi="Calibri" w:cs="Arial"/>
                <w:sz w:val="22"/>
                <w:szCs w:val="22"/>
              </w:rPr>
              <w:t>eduction in use of police cells as place of safety</w:t>
            </w:r>
            <w:r w:rsidR="00626A92" w:rsidRPr="00982D8F">
              <w:rPr>
                <w:rFonts w:ascii="Calibri" w:hAnsi="Calibri" w:cs="Arial"/>
                <w:sz w:val="22"/>
                <w:szCs w:val="22"/>
              </w:rPr>
              <w:t xml:space="preserve"> within the first 6 months (April-September) of 2015/16, compared to the same period last year</w:t>
            </w:r>
            <w:r w:rsidRPr="00982D8F">
              <w:rPr>
                <w:rFonts w:ascii="Calibri" w:hAnsi="Calibri" w:cs="Arial"/>
                <w:sz w:val="22"/>
                <w:szCs w:val="22"/>
              </w:rPr>
              <w:t xml:space="preserve"> </w:t>
            </w:r>
          </w:p>
          <w:p w:rsidR="00626A92" w:rsidRPr="00982D8F" w:rsidRDefault="00626A92" w:rsidP="00575181">
            <w:pPr>
              <w:numPr>
                <w:ilvl w:val="0"/>
                <w:numId w:val="35"/>
              </w:numPr>
              <w:rPr>
                <w:rFonts w:ascii="Calibri" w:hAnsi="Calibri" w:cs="Arial"/>
                <w:bCs/>
                <w:sz w:val="22"/>
                <w:szCs w:val="22"/>
              </w:rPr>
            </w:pPr>
            <w:r w:rsidRPr="00982D8F">
              <w:rPr>
                <w:rFonts w:ascii="Calibri" w:hAnsi="Calibri" w:cs="Arial"/>
                <w:bCs/>
                <w:sz w:val="22"/>
                <w:szCs w:val="22"/>
              </w:rPr>
              <w:t>The staff in Fareham and Gosport CMHT are working closely with the Police and the service users who are frequent presenters, to agree a collaborative Crisis Plan, which is then followed by all Agencies.</w:t>
            </w:r>
            <w:r w:rsidR="00982D8F" w:rsidRPr="00982D8F">
              <w:rPr>
                <w:rFonts w:ascii="Calibri" w:hAnsi="Calibri" w:cs="Arial"/>
                <w:bCs/>
                <w:sz w:val="22"/>
                <w:szCs w:val="22"/>
              </w:rPr>
              <w:t xml:space="preserve"> The high intensity user groups </w:t>
            </w:r>
            <w:r w:rsidR="00E11D29">
              <w:rPr>
                <w:rFonts w:ascii="Calibri" w:hAnsi="Calibri" w:cs="Arial"/>
                <w:bCs/>
                <w:sz w:val="22"/>
                <w:szCs w:val="22"/>
              </w:rPr>
              <w:t>are being set up across Hampshire.</w:t>
            </w:r>
          </w:p>
          <w:p w:rsidR="00626A92" w:rsidRPr="00982D8F" w:rsidRDefault="00982D8F" w:rsidP="00575181">
            <w:pPr>
              <w:numPr>
                <w:ilvl w:val="0"/>
                <w:numId w:val="35"/>
              </w:numPr>
              <w:rPr>
                <w:rFonts w:ascii="Calibri" w:hAnsi="Calibri" w:cs="Arial"/>
                <w:bCs/>
                <w:sz w:val="22"/>
                <w:szCs w:val="22"/>
              </w:rPr>
            </w:pPr>
            <w:r w:rsidRPr="00982D8F">
              <w:rPr>
                <w:rFonts w:ascii="Calibri" w:hAnsi="Calibri" w:cs="Arial"/>
                <w:bCs/>
                <w:sz w:val="22"/>
                <w:szCs w:val="22"/>
              </w:rPr>
              <w:t>Operating hour</w:t>
            </w:r>
            <w:r w:rsidR="00F71337">
              <w:rPr>
                <w:rFonts w:ascii="Calibri" w:hAnsi="Calibri" w:cs="Arial"/>
                <w:bCs/>
                <w:sz w:val="22"/>
                <w:szCs w:val="22"/>
              </w:rPr>
              <w:t xml:space="preserve">s of the Hospital Liaison team </w:t>
            </w:r>
            <w:r w:rsidRPr="00982D8F">
              <w:rPr>
                <w:rFonts w:ascii="Calibri" w:hAnsi="Calibri" w:cs="Arial"/>
                <w:bCs/>
                <w:sz w:val="22"/>
                <w:szCs w:val="22"/>
              </w:rPr>
              <w:t>at UHS have now been extended to midnight, 7 days a week.</w:t>
            </w:r>
          </w:p>
          <w:p w:rsidR="00982D8F" w:rsidRPr="00575181" w:rsidRDefault="00982D8F" w:rsidP="00575181">
            <w:pPr>
              <w:numPr>
                <w:ilvl w:val="0"/>
                <w:numId w:val="35"/>
              </w:numPr>
              <w:rPr>
                <w:rFonts w:ascii="Arial" w:hAnsi="Arial" w:cs="Arial"/>
                <w:bCs/>
                <w:sz w:val="22"/>
                <w:szCs w:val="22"/>
              </w:rPr>
            </w:pPr>
            <w:r w:rsidRPr="00982D8F">
              <w:rPr>
                <w:rFonts w:ascii="Calibri" w:hAnsi="Calibri" w:cs="Arial"/>
                <w:bCs/>
                <w:sz w:val="22"/>
                <w:szCs w:val="22"/>
              </w:rPr>
              <w:t xml:space="preserve">Serenity worker, based in the Police </w:t>
            </w:r>
            <w:r>
              <w:rPr>
                <w:rFonts w:ascii="Calibri" w:hAnsi="Calibri" w:cs="Arial"/>
                <w:bCs/>
                <w:sz w:val="22"/>
                <w:szCs w:val="22"/>
              </w:rPr>
              <w:t>Headquarters</w:t>
            </w:r>
            <w:r w:rsidRPr="00982D8F">
              <w:rPr>
                <w:rFonts w:ascii="Calibri" w:hAnsi="Calibri" w:cs="Arial"/>
                <w:bCs/>
                <w:sz w:val="22"/>
                <w:szCs w:val="22"/>
              </w:rPr>
              <w:t xml:space="preserve"> in Netley, is triaging and providing advice on any incidents involving people who are experiencing Mental Health issues</w:t>
            </w:r>
            <w:r>
              <w:rPr>
                <w:rFonts w:ascii="Calibri" w:hAnsi="Calibri" w:cs="Arial"/>
                <w:bCs/>
                <w:sz w:val="22"/>
                <w:szCs w:val="22"/>
              </w:rPr>
              <w:t>, including advice prior to the use of s136.</w:t>
            </w:r>
          </w:p>
          <w:p w:rsidR="00575181" w:rsidRPr="00982D8F" w:rsidRDefault="00575181" w:rsidP="00575181">
            <w:pPr>
              <w:rPr>
                <w:rFonts w:ascii="Arial" w:hAnsi="Arial" w:cs="Arial"/>
                <w:bCs/>
                <w:sz w:val="22"/>
                <w:szCs w:val="22"/>
              </w:rPr>
            </w:pPr>
          </w:p>
        </w:tc>
      </w:tr>
    </w:tbl>
    <w:p w:rsidR="003F342A" w:rsidRPr="002B6859" w:rsidRDefault="003F342A">
      <w:pPr>
        <w:rPr>
          <w:rFonts w:ascii="Arial" w:hAnsi="Arial" w:cs="Arial"/>
          <w:b/>
          <w:bCs/>
          <w:sz w:val="22"/>
          <w:szCs w:val="22"/>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733BC" w:rsidRPr="002B6859" w:rsidTr="00AA70BF">
        <w:tc>
          <w:tcPr>
            <w:tcW w:w="9180" w:type="dxa"/>
            <w:shd w:val="clear" w:color="auto" w:fill="D9D9D9"/>
          </w:tcPr>
          <w:p w:rsidR="003733BC" w:rsidRPr="002B6859" w:rsidRDefault="003733BC">
            <w:pPr>
              <w:pStyle w:val="Heading6"/>
              <w:rPr>
                <w:b/>
                <w:sz w:val="22"/>
                <w:szCs w:val="22"/>
              </w:rPr>
            </w:pPr>
            <w:r w:rsidRPr="002B6859">
              <w:rPr>
                <w:b/>
                <w:sz w:val="22"/>
                <w:szCs w:val="22"/>
              </w:rPr>
              <w:t xml:space="preserve">Priorities/targets for next </w:t>
            </w:r>
            <w:r w:rsidR="00F514DC" w:rsidRPr="002B6859">
              <w:rPr>
                <w:b/>
                <w:sz w:val="22"/>
                <w:szCs w:val="22"/>
              </w:rPr>
              <w:t xml:space="preserve">period </w:t>
            </w:r>
          </w:p>
        </w:tc>
      </w:tr>
      <w:tr w:rsidR="003733BC" w:rsidRPr="002B6859">
        <w:trPr>
          <w:trHeight w:val="927"/>
        </w:trPr>
        <w:tc>
          <w:tcPr>
            <w:tcW w:w="9180" w:type="dxa"/>
          </w:tcPr>
          <w:p w:rsidR="00517C94" w:rsidRDefault="00BD5BB6" w:rsidP="001D4C4C">
            <w:pPr>
              <w:numPr>
                <w:ilvl w:val="0"/>
                <w:numId w:val="33"/>
              </w:numPr>
              <w:rPr>
                <w:rFonts w:ascii="Calibri" w:hAnsi="Calibri" w:cs="Arial"/>
                <w:bCs/>
                <w:sz w:val="22"/>
                <w:szCs w:val="22"/>
              </w:rPr>
            </w:pPr>
            <w:r>
              <w:rPr>
                <w:rFonts w:ascii="Calibri" w:hAnsi="Calibri" w:cs="Arial"/>
                <w:bCs/>
                <w:sz w:val="22"/>
                <w:szCs w:val="22"/>
              </w:rPr>
              <w:t xml:space="preserve">Creation of Co-produced Crisis Care Concordat Charter </w:t>
            </w:r>
          </w:p>
          <w:p w:rsidR="00BD5BB6" w:rsidRPr="00982D8F" w:rsidRDefault="00BD5BB6" w:rsidP="001D4C4C">
            <w:pPr>
              <w:numPr>
                <w:ilvl w:val="0"/>
                <w:numId w:val="33"/>
              </w:numPr>
              <w:rPr>
                <w:rFonts w:ascii="Calibri" w:hAnsi="Calibri" w:cs="Arial"/>
                <w:bCs/>
                <w:sz w:val="22"/>
                <w:szCs w:val="22"/>
              </w:rPr>
            </w:pPr>
            <w:r>
              <w:rPr>
                <w:rFonts w:ascii="Calibri" w:hAnsi="Calibri" w:cs="Arial"/>
                <w:bCs/>
                <w:sz w:val="22"/>
                <w:szCs w:val="22"/>
              </w:rPr>
              <w:t>Agree minimum data set across all services</w:t>
            </w:r>
          </w:p>
          <w:p w:rsidR="001D4C4C" w:rsidRDefault="009C5C69" w:rsidP="001D4C4C">
            <w:pPr>
              <w:numPr>
                <w:ilvl w:val="0"/>
                <w:numId w:val="33"/>
              </w:numPr>
              <w:rPr>
                <w:rFonts w:ascii="Calibri" w:hAnsi="Calibri" w:cs="Arial"/>
                <w:bCs/>
                <w:sz w:val="22"/>
                <w:szCs w:val="22"/>
              </w:rPr>
            </w:pPr>
            <w:r w:rsidRPr="00982D8F">
              <w:rPr>
                <w:rFonts w:ascii="Calibri" w:hAnsi="Calibri" w:cs="Arial"/>
                <w:bCs/>
                <w:sz w:val="22"/>
                <w:szCs w:val="22"/>
              </w:rPr>
              <w:t>Produce/ circulate information sharing protocol for staff members</w:t>
            </w:r>
          </w:p>
          <w:p w:rsidR="000412F9" w:rsidRPr="00982D8F" w:rsidRDefault="000412F9" w:rsidP="001D4C4C">
            <w:pPr>
              <w:numPr>
                <w:ilvl w:val="0"/>
                <w:numId w:val="33"/>
              </w:numPr>
              <w:rPr>
                <w:rFonts w:ascii="Calibri" w:hAnsi="Calibri" w:cs="Arial"/>
                <w:bCs/>
                <w:sz w:val="22"/>
                <w:szCs w:val="22"/>
              </w:rPr>
            </w:pPr>
            <w:r>
              <w:rPr>
                <w:rFonts w:ascii="Calibri" w:hAnsi="Calibri" w:cs="Arial"/>
                <w:bCs/>
                <w:sz w:val="22"/>
                <w:szCs w:val="22"/>
              </w:rPr>
              <w:t xml:space="preserve">February agenda to celebrate </w:t>
            </w:r>
            <w:r w:rsidR="00A510DE">
              <w:rPr>
                <w:rFonts w:ascii="Calibri" w:hAnsi="Calibri" w:cs="Arial"/>
                <w:bCs/>
                <w:sz w:val="22"/>
                <w:szCs w:val="22"/>
              </w:rPr>
              <w:t>examples of good practice, this will include a presentation from the Safe haven Café in Aldershot as an example of excellent OOH care and support.</w:t>
            </w:r>
            <w:r>
              <w:rPr>
                <w:rFonts w:ascii="Calibri" w:hAnsi="Calibri" w:cs="Arial"/>
                <w:bCs/>
                <w:sz w:val="22"/>
                <w:szCs w:val="22"/>
              </w:rPr>
              <w:t xml:space="preserve"> </w:t>
            </w:r>
          </w:p>
          <w:p w:rsidR="003B7C55" w:rsidRPr="00982D8F" w:rsidRDefault="009C5C69" w:rsidP="003B7C55">
            <w:pPr>
              <w:numPr>
                <w:ilvl w:val="0"/>
                <w:numId w:val="33"/>
              </w:numPr>
              <w:rPr>
                <w:rFonts w:ascii="Calibri" w:hAnsi="Calibri" w:cs="Arial"/>
                <w:bCs/>
                <w:sz w:val="22"/>
                <w:szCs w:val="22"/>
              </w:rPr>
            </w:pPr>
            <w:r w:rsidRPr="00982D8F">
              <w:rPr>
                <w:rFonts w:ascii="Calibri" w:hAnsi="Calibri" w:cs="Arial"/>
                <w:bCs/>
                <w:sz w:val="22"/>
                <w:szCs w:val="22"/>
              </w:rPr>
              <w:t xml:space="preserve">Monitor progress on targets due </w:t>
            </w:r>
            <w:r w:rsidRPr="00A67E08">
              <w:rPr>
                <w:rFonts w:ascii="Calibri" w:hAnsi="Calibri" w:cs="Arial"/>
                <w:bCs/>
                <w:sz w:val="22"/>
                <w:szCs w:val="22"/>
              </w:rPr>
              <w:t xml:space="preserve">in </w:t>
            </w:r>
            <w:r w:rsidR="00BD5BB6" w:rsidRPr="00A67E08">
              <w:rPr>
                <w:rFonts w:ascii="Calibri" w:hAnsi="Calibri" w:cs="Arial"/>
                <w:bCs/>
                <w:sz w:val="22"/>
                <w:szCs w:val="22"/>
              </w:rPr>
              <w:t>early 2016</w:t>
            </w:r>
          </w:p>
          <w:p w:rsidR="0001310C" w:rsidRPr="00517C94" w:rsidRDefault="0001310C" w:rsidP="003B7C55">
            <w:pPr>
              <w:ind w:left="720"/>
              <w:rPr>
                <w:rFonts w:ascii="Arial" w:hAnsi="Arial" w:cs="Arial"/>
                <w:bCs/>
                <w:sz w:val="22"/>
                <w:szCs w:val="22"/>
              </w:rPr>
            </w:pPr>
          </w:p>
        </w:tc>
      </w:tr>
    </w:tbl>
    <w:p w:rsidR="003F342A" w:rsidRPr="002B6859" w:rsidRDefault="003F342A">
      <w:pPr>
        <w:rPr>
          <w:rFonts w:ascii="Arial" w:hAnsi="Arial" w:cs="Arial"/>
          <w:b/>
          <w:bCs/>
          <w:sz w:val="22"/>
          <w:szCs w:val="22"/>
        </w:rPr>
      </w:pPr>
    </w:p>
    <w:p w:rsidR="003F342A" w:rsidRPr="005D5442" w:rsidRDefault="003F342A">
      <w:pPr>
        <w:rPr>
          <w:rFonts w:ascii="Arial" w:hAnsi="Arial" w:cs="Arial"/>
          <w:b/>
          <w:bCs/>
          <w:sz w:val="20"/>
          <w:szCs w:val="20"/>
        </w:rPr>
      </w:pPr>
    </w:p>
    <w:p w:rsidR="003F342A" w:rsidRPr="00360FD9" w:rsidRDefault="003F342A">
      <w:pPr>
        <w:rPr>
          <w:rFonts w:ascii="Arial" w:hAnsi="Arial" w:cs="Arial"/>
          <w:b/>
          <w:bCs/>
          <w:sz w:val="20"/>
          <w:szCs w:val="20"/>
        </w:rPr>
      </w:pPr>
    </w:p>
    <w:sectPr w:rsidR="003F342A" w:rsidRPr="00360FD9">
      <w:pgSz w:w="11906" w:h="16838"/>
      <w:pgMar w:top="284"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D6" w:rsidRDefault="000012D6">
      <w:r>
        <w:separator/>
      </w:r>
    </w:p>
  </w:endnote>
  <w:endnote w:type="continuationSeparator" w:id="0">
    <w:p w:rsidR="000012D6" w:rsidRDefault="000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D6" w:rsidRDefault="000012D6">
      <w:r>
        <w:separator/>
      </w:r>
    </w:p>
  </w:footnote>
  <w:footnote w:type="continuationSeparator" w:id="0">
    <w:p w:rsidR="000012D6" w:rsidRDefault="0000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1.25pt" o:bullet="t">
        <v:imagedata r:id="rId1" o:title="untitled"/>
      </v:shape>
    </w:pict>
  </w:numPicBullet>
  <w:abstractNum w:abstractNumId="0" w15:restartNumberingAfterBreak="0">
    <w:nsid w:val="00B25A51"/>
    <w:multiLevelType w:val="multilevel"/>
    <w:tmpl w:val="59C08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B3249"/>
    <w:multiLevelType w:val="hybridMultilevel"/>
    <w:tmpl w:val="71E2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3173F"/>
    <w:multiLevelType w:val="hybridMultilevel"/>
    <w:tmpl w:val="082606D8"/>
    <w:lvl w:ilvl="0" w:tplc="8E7A6F1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55140C"/>
    <w:multiLevelType w:val="multilevel"/>
    <w:tmpl w:val="FE386246"/>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64B02"/>
    <w:multiLevelType w:val="hybridMultilevel"/>
    <w:tmpl w:val="8DC6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42B58"/>
    <w:multiLevelType w:val="hybridMultilevel"/>
    <w:tmpl w:val="27A679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8218E0"/>
    <w:multiLevelType w:val="hybridMultilevel"/>
    <w:tmpl w:val="E59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E0A03"/>
    <w:multiLevelType w:val="multilevel"/>
    <w:tmpl w:val="1E422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C395E"/>
    <w:multiLevelType w:val="multilevel"/>
    <w:tmpl w:val="27A679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271E40"/>
    <w:multiLevelType w:val="hybridMultilevel"/>
    <w:tmpl w:val="5DB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104BA"/>
    <w:multiLevelType w:val="multilevel"/>
    <w:tmpl w:val="E3D02A84"/>
    <w:lvl w:ilvl="0">
      <w:start w:val="1"/>
      <w:numFmt w:val="bullet"/>
      <w:lvlText w:val=""/>
      <w:lvlJc w:val="left"/>
      <w:pPr>
        <w:tabs>
          <w:tab w:val="num" w:pos="720"/>
        </w:tabs>
        <w:ind w:left="720" w:hanging="360"/>
      </w:pPr>
      <w:rPr>
        <w:rFonts w:ascii="Symbol" w:hAnsi="Symbol" w:hint="default"/>
        <w:color w:val="auto"/>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F0953"/>
    <w:multiLevelType w:val="multilevel"/>
    <w:tmpl w:val="AAAC3442"/>
    <w:lvl w:ilvl="0">
      <w:start w:val="1"/>
      <w:numFmt w:val="bullet"/>
      <w:lvlText w:val=""/>
      <w:lvlPicBulletId w:val="0"/>
      <w:lvlJc w:val="left"/>
      <w:pPr>
        <w:tabs>
          <w:tab w:val="num" w:pos="720"/>
        </w:tabs>
        <w:ind w:left="720" w:hanging="360"/>
      </w:pPr>
      <w:rPr>
        <w:rFonts w:ascii="Symbol" w:hAnsi="Symbol" w:hint="default"/>
        <w:color w:val="auto"/>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D6E7E"/>
    <w:multiLevelType w:val="hybridMultilevel"/>
    <w:tmpl w:val="25823FFC"/>
    <w:lvl w:ilvl="0" w:tplc="208C0736">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5688A"/>
    <w:multiLevelType w:val="hybridMultilevel"/>
    <w:tmpl w:val="964EA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0071F"/>
    <w:multiLevelType w:val="multilevel"/>
    <w:tmpl w:val="C0DE95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67370"/>
    <w:multiLevelType w:val="multilevel"/>
    <w:tmpl w:val="C0DE95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B1065"/>
    <w:multiLevelType w:val="hybridMultilevel"/>
    <w:tmpl w:val="CC1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51D6D"/>
    <w:multiLevelType w:val="hybridMultilevel"/>
    <w:tmpl w:val="288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0A"/>
    <w:multiLevelType w:val="hybridMultilevel"/>
    <w:tmpl w:val="309409B0"/>
    <w:lvl w:ilvl="0" w:tplc="CF1E29A8">
      <w:start w:val="1"/>
      <w:numFmt w:val="bullet"/>
      <w:lvlText w:val=""/>
      <w:lvlJc w:val="left"/>
      <w:pPr>
        <w:tabs>
          <w:tab w:val="num" w:pos="360"/>
        </w:tabs>
        <w:ind w:left="53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87F3F"/>
    <w:multiLevelType w:val="hybridMultilevel"/>
    <w:tmpl w:val="BE60F066"/>
    <w:lvl w:ilvl="0" w:tplc="CF1E29A8">
      <w:start w:val="1"/>
      <w:numFmt w:val="bullet"/>
      <w:lvlText w:val=""/>
      <w:lvlJc w:val="left"/>
      <w:pPr>
        <w:tabs>
          <w:tab w:val="num" w:pos="360"/>
        </w:tabs>
        <w:ind w:left="530" w:hanging="17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36543"/>
    <w:multiLevelType w:val="hybridMultilevel"/>
    <w:tmpl w:val="01EC2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768DC"/>
    <w:multiLevelType w:val="hybridMultilevel"/>
    <w:tmpl w:val="3CA88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D693C"/>
    <w:multiLevelType w:val="hybridMultilevel"/>
    <w:tmpl w:val="0458E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D4E52"/>
    <w:multiLevelType w:val="hybridMultilevel"/>
    <w:tmpl w:val="DA84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47135"/>
    <w:multiLevelType w:val="hybridMultilevel"/>
    <w:tmpl w:val="9872B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6381E"/>
    <w:multiLevelType w:val="hybridMultilevel"/>
    <w:tmpl w:val="4FBC761E"/>
    <w:lvl w:ilvl="0" w:tplc="CF1E29A8">
      <w:start w:val="1"/>
      <w:numFmt w:val="bullet"/>
      <w:lvlText w:val=""/>
      <w:lvlJc w:val="left"/>
      <w:pPr>
        <w:tabs>
          <w:tab w:val="num" w:pos="360"/>
        </w:tabs>
        <w:ind w:left="530" w:hanging="17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9371D"/>
    <w:multiLevelType w:val="hybridMultilevel"/>
    <w:tmpl w:val="94FCF23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E3AFC"/>
    <w:multiLevelType w:val="hybridMultilevel"/>
    <w:tmpl w:val="1E4220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855D4"/>
    <w:multiLevelType w:val="hybridMultilevel"/>
    <w:tmpl w:val="C0DE959E"/>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F13CA"/>
    <w:multiLevelType w:val="hybridMultilevel"/>
    <w:tmpl w:val="A822A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27963"/>
    <w:multiLevelType w:val="hybridMultilevel"/>
    <w:tmpl w:val="37C8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42E59"/>
    <w:multiLevelType w:val="hybridMultilevel"/>
    <w:tmpl w:val="AAAC3442"/>
    <w:lvl w:ilvl="0" w:tplc="178E257C">
      <w:start w:val="1"/>
      <w:numFmt w:val="bullet"/>
      <w:lvlText w:val=""/>
      <w:lvlPicBulletId w:val="0"/>
      <w:lvlJc w:val="left"/>
      <w:pPr>
        <w:tabs>
          <w:tab w:val="num" w:pos="720"/>
        </w:tabs>
        <w:ind w:left="720" w:hanging="360"/>
      </w:pPr>
      <w:rPr>
        <w:rFonts w:ascii="Symbol" w:hAnsi="Symbol" w:hint="default"/>
        <w:color w:val="auto"/>
        <w:sz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05685"/>
    <w:multiLevelType w:val="hybridMultilevel"/>
    <w:tmpl w:val="7F9042EC"/>
    <w:lvl w:ilvl="0" w:tplc="BDAE49FC">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40B94"/>
    <w:multiLevelType w:val="hybridMultilevel"/>
    <w:tmpl w:val="7BB44C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E2951DC"/>
    <w:multiLevelType w:val="hybridMultilevel"/>
    <w:tmpl w:val="3F6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8"/>
  </w:num>
  <w:num w:numId="4">
    <w:abstractNumId w:val="33"/>
  </w:num>
  <w:num w:numId="5">
    <w:abstractNumId w:val="5"/>
  </w:num>
  <w:num w:numId="6">
    <w:abstractNumId w:val="8"/>
  </w:num>
  <w:num w:numId="7">
    <w:abstractNumId w:val="2"/>
  </w:num>
  <w:num w:numId="8">
    <w:abstractNumId w:val="26"/>
  </w:num>
  <w:num w:numId="9">
    <w:abstractNumId w:val="20"/>
  </w:num>
  <w:num w:numId="10">
    <w:abstractNumId w:val="31"/>
  </w:num>
  <w:num w:numId="11">
    <w:abstractNumId w:val="11"/>
  </w:num>
  <w:num w:numId="12">
    <w:abstractNumId w:val="32"/>
  </w:num>
  <w:num w:numId="13">
    <w:abstractNumId w:val="10"/>
  </w:num>
  <w:num w:numId="14">
    <w:abstractNumId w:val="3"/>
  </w:num>
  <w:num w:numId="15">
    <w:abstractNumId w:val="22"/>
  </w:num>
  <w:num w:numId="16">
    <w:abstractNumId w:val="27"/>
  </w:num>
  <w:num w:numId="17">
    <w:abstractNumId w:val="7"/>
  </w:num>
  <w:num w:numId="18">
    <w:abstractNumId w:val="12"/>
  </w:num>
  <w:num w:numId="19">
    <w:abstractNumId w:val="0"/>
  </w:num>
  <w:num w:numId="20">
    <w:abstractNumId w:val="21"/>
  </w:num>
  <w:num w:numId="21">
    <w:abstractNumId w:val="18"/>
  </w:num>
  <w:num w:numId="22">
    <w:abstractNumId w:val="15"/>
  </w:num>
  <w:num w:numId="23">
    <w:abstractNumId w:val="25"/>
  </w:num>
  <w:num w:numId="24">
    <w:abstractNumId w:val="14"/>
  </w:num>
  <w:num w:numId="25">
    <w:abstractNumId w:val="19"/>
  </w:num>
  <w:num w:numId="26">
    <w:abstractNumId w:val="6"/>
  </w:num>
  <w:num w:numId="27">
    <w:abstractNumId w:val="30"/>
  </w:num>
  <w:num w:numId="28">
    <w:abstractNumId w:val="9"/>
  </w:num>
  <w:num w:numId="29">
    <w:abstractNumId w:val="4"/>
  </w:num>
  <w:num w:numId="30">
    <w:abstractNumId w:val="24"/>
  </w:num>
  <w:num w:numId="31">
    <w:abstractNumId w:val="1"/>
  </w:num>
  <w:num w:numId="32">
    <w:abstractNumId w:val="16"/>
  </w:num>
  <w:num w:numId="33">
    <w:abstractNumId w:val="17"/>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10"/>
    <w:rsid w:val="000012D6"/>
    <w:rsid w:val="0001310C"/>
    <w:rsid w:val="000157CB"/>
    <w:rsid w:val="00032DFF"/>
    <w:rsid w:val="000412F9"/>
    <w:rsid w:val="0004598D"/>
    <w:rsid w:val="00054B77"/>
    <w:rsid w:val="000615DA"/>
    <w:rsid w:val="0008214E"/>
    <w:rsid w:val="000849AB"/>
    <w:rsid w:val="0008723E"/>
    <w:rsid w:val="00094242"/>
    <w:rsid w:val="0009660B"/>
    <w:rsid w:val="000B094B"/>
    <w:rsid w:val="000C3392"/>
    <w:rsid w:val="000D7558"/>
    <w:rsid w:val="00104612"/>
    <w:rsid w:val="0011787A"/>
    <w:rsid w:val="00167731"/>
    <w:rsid w:val="00172557"/>
    <w:rsid w:val="001802D3"/>
    <w:rsid w:val="001864C2"/>
    <w:rsid w:val="00195603"/>
    <w:rsid w:val="00195C98"/>
    <w:rsid w:val="001B05FA"/>
    <w:rsid w:val="001D4C4C"/>
    <w:rsid w:val="001F1911"/>
    <w:rsid w:val="00207442"/>
    <w:rsid w:val="002228A2"/>
    <w:rsid w:val="00232C23"/>
    <w:rsid w:val="00233110"/>
    <w:rsid w:val="002448DC"/>
    <w:rsid w:val="00246CF9"/>
    <w:rsid w:val="00281ED6"/>
    <w:rsid w:val="002854B1"/>
    <w:rsid w:val="002B6859"/>
    <w:rsid w:val="002C4B85"/>
    <w:rsid w:val="002C56C5"/>
    <w:rsid w:val="002E2C56"/>
    <w:rsid w:val="002F26E4"/>
    <w:rsid w:val="00330E9E"/>
    <w:rsid w:val="00340B11"/>
    <w:rsid w:val="0034288F"/>
    <w:rsid w:val="00350782"/>
    <w:rsid w:val="00360FD9"/>
    <w:rsid w:val="00371A1F"/>
    <w:rsid w:val="003733BC"/>
    <w:rsid w:val="00385A3C"/>
    <w:rsid w:val="00392FC3"/>
    <w:rsid w:val="003B7C55"/>
    <w:rsid w:val="003D72AD"/>
    <w:rsid w:val="003F1A09"/>
    <w:rsid w:val="003F342A"/>
    <w:rsid w:val="003F5305"/>
    <w:rsid w:val="0042502D"/>
    <w:rsid w:val="004339E8"/>
    <w:rsid w:val="00450186"/>
    <w:rsid w:val="00453FA3"/>
    <w:rsid w:val="0048295D"/>
    <w:rsid w:val="0048594C"/>
    <w:rsid w:val="00490ECC"/>
    <w:rsid w:val="00496BF0"/>
    <w:rsid w:val="004D0649"/>
    <w:rsid w:val="004D4A98"/>
    <w:rsid w:val="004D766A"/>
    <w:rsid w:val="005023F7"/>
    <w:rsid w:val="00517C94"/>
    <w:rsid w:val="00522B4B"/>
    <w:rsid w:val="00522F56"/>
    <w:rsid w:val="0053644C"/>
    <w:rsid w:val="00547F66"/>
    <w:rsid w:val="00555DE0"/>
    <w:rsid w:val="00570F84"/>
    <w:rsid w:val="00575181"/>
    <w:rsid w:val="005A2D07"/>
    <w:rsid w:val="005B55E4"/>
    <w:rsid w:val="005D0B3F"/>
    <w:rsid w:val="005D5442"/>
    <w:rsid w:val="005E1531"/>
    <w:rsid w:val="006109E5"/>
    <w:rsid w:val="00616C8B"/>
    <w:rsid w:val="00623D37"/>
    <w:rsid w:val="00626A92"/>
    <w:rsid w:val="006658DD"/>
    <w:rsid w:val="006673BB"/>
    <w:rsid w:val="00674C3D"/>
    <w:rsid w:val="0068136D"/>
    <w:rsid w:val="00693805"/>
    <w:rsid w:val="006B4406"/>
    <w:rsid w:val="006D52F7"/>
    <w:rsid w:val="006E1BD3"/>
    <w:rsid w:val="006F2CD2"/>
    <w:rsid w:val="006F3F0C"/>
    <w:rsid w:val="006F5FEA"/>
    <w:rsid w:val="00712E35"/>
    <w:rsid w:val="00725A66"/>
    <w:rsid w:val="00735E5E"/>
    <w:rsid w:val="00745E96"/>
    <w:rsid w:val="00755CBD"/>
    <w:rsid w:val="007A31F9"/>
    <w:rsid w:val="007B4157"/>
    <w:rsid w:val="007C63E9"/>
    <w:rsid w:val="007D37AC"/>
    <w:rsid w:val="007D52E4"/>
    <w:rsid w:val="007E173E"/>
    <w:rsid w:val="00806E43"/>
    <w:rsid w:val="00826A9B"/>
    <w:rsid w:val="0085262E"/>
    <w:rsid w:val="008647CC"/>
    <w:rsid w:val="00866491"/>
    <w:rsid w:val="00880BA7"/>
    <w:rsid w:val="00894101"/>
    <w:rsid w:val="008B1DC9"/>
    <w:rsid w:val="008C3DD6"/>
    <w:rsid w:val="008C60D5"/>
    <w:rsid w:val="008D0CF1"/>
    <w:rsid w:val="008D2370"/>
    <w:rsid w:val="009060B2"/>
    <w:rsid w:val="009345EF"/>
    <w:rsid w:val="0093713B"/>
    <w:rsid w:val="009436C1"/>
    <w:rsid w:val="00947694"/>
    <w:rsid w:val="009515B3"/>
    <w:rsid w:val="00980116"/>
    <w:rsid w:val="00982D8F"/>
    <w:rsid w:val="00994BD8"/>
    <w:rsid w:val="00994D56"/>
    <w:rsid w:val="00997895"/>
    <w:rsid w:val="009C5C69"/>
    <w:rsid w:val="009F2EAF"/>
    <w:rsid w:val="00A0506D"/>
    <w:rsid w:val="00A05815"/>
    <w:rsid w:val="00A14B08"/>
    <w:rsid w:val="00A201A7"/>
    <w:rsid w:val="00A510DE"/>
    <w:rsid w:val="00A606F9"/>
    <w:rsid w:val="00A67E08"/>
    <w:rsid w:val="00A735AB"/>
    <w:rsid w:val="00A87EE8"/>
    <w:rsid w:val="00A94FC2"/>
    <w:rsid w:val="00A97E36"/>
    <w:rsid w:val="00AA70BF"/>
    <w:rsid w:val="00AF2A03"/>
    <w:rsid w:val="00B128FE"/>
    <w:rsid w:val="00B25847"/>
    <w:rsid w:val="00B66431"/>
    <w:rsid w:val="00B90EBE"/>
    <w:rsid w:val="00B91C2C"/>
    <w:rsid w:val="00BC16AA"/>
    <w:rsid w:val="00BC549D"/>
    <w:rsid w:val="00BD087A"/>
    <w:rsid w:val="00BD3A08"/>
    <w:rsid w:val="00BD5BB6"/>
    <w:rsid w:val="00BF477B"/>
    <w:rsid w:val="00C06529"/>
    <w:rsid w:val="00C11666"/>
    <w:rsid w:val="00C2690F"/>
    <w:rsid w:val="00C32D91"/>
    <w:rsid w:val="00C337F0"/>
    <w:rsid w:val="00C42999"/>
    <w:rsid w:val="00C43292"/>
    <w:rsid w:val="00C644CD"/>
    <w:rsid w:val="00C67E7E"/>
    <w:rsid w:val="00C7093C"/>
    <w:rsid w:val="00CA5C98"/>
    <w:rsid w:val="00CC27E6"/>
    <w:rsid w:val="00CD1295"/>
    <w:rsid w:val="00CE3CE1"/>
    <w:rsid w:val="00CE5871"/>
    <w:rsid w:val="00D1378E"/>
    <w:rsid w:val="00D36B28"/>
    <w:rsid w:val="00D70375"/>
    <w:rsid w:val="00D82C53"/>
    <w:rsid w:val="00D92786"/>
    <w:rsid w:val="00DA7A5C"/>
    <w:rsid w:val="00DB7355"/>
    <w:rsid w:val="00DB75D9"/>
    <w:rsid w:val="00DF1F87"/>
    <w:rsid w:val="00DF2410"/>
    <w:rsid w:val="00E11D29"/>
    <w:rsid w:val="00E1538A"/>
    <w:rsid w:val="00E15792"/>
    <w:rsid w:val="00E30B00"/>
    <w:rsid w:val="00E4564D"/>
    <w:rsid w:val="00E82A90"/>
    <w:rsid w:val="00E850B2"/>
    <w:rsid w:val="00EA46E7"/>
    <w:rsid w:val="00EB0BD3"/>
    <w:rsid w:val="00EB0FA7"/>
    <w:rsid w:val="00EB3A54"/>
    <w:rsid w:val="00EB7E6C"/>
    <w:rsid w:val="00EE0A64"/>
    <w:rsid w:val="00EE3207"/>
    <w:rsid w:val="00EE6FB7"/>
    <w:rsid w:val="00EF089A"/>
    <w:rsid w:val="00F318B2"/>
    <w:rsid w:val="00F411CC"/>
    <w:rsid w:val="00F44926"/>
    <w:rsid w:val="00F514DC"/>
    <w:rsid w:val="00F71337"/>
    <w:rsid w:val="00FB1732"/>
    <w:rsid w:val="00FE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ED689A-E49D-4040-ADE5-4618F4F2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sz w:val="36"/>
    </w:rPr>
  </w:style>
  <w:style w:type="paragraph" w:styleId="Heading2">
    <w:name w:val="heading 2"/>
    <w:basedOn w:val="Normal"/>
    <w:next w:val="Normal"/>
    <w:qFormat/>
    <w:pPr>
      <w:keepNext/>
      <w:jc w:val="right"/>
      <w:outlineLvl w:val="1"/>
    </w:pPr>
    <w:rPr>
      <w:rFonts w:ascii="Arial" w:hAnsi="Arial" w:cs="Arial"/>
      <w:b/>
      <w:bCs/>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link w:val="Heading4Char"/>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jc w:val="center"/>
      <w:outlineLvl w:val="6"/>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05FA"/>
    <w:pPr>
      <w:spacing w:before="100" w:beforeAutospacing="1" w:after="100" w:afterAutospacing="1"/>
    </w:pPr>
    <w:rPr>
      <w:lang w:eastAsia="en-GB"/>
    </w:rPr>
  </w:style>
  <w:style w:type="paragraph" w:styleId="Header">
    <w:name w:val="header"/>
    <w:basedOn w:val="Normal"/>
    <w:rsid w:val="00E82A90"/>
    <w:pPr>
      <w:tabs>
        <w:tab w:val="center" w:pos="4153"/>
        <w:tab w:val="right" w:pos="8306"/>
      </w:tabs>
    </w:pPr>
  </w:style>
  <w:style w:type="paragraph" w:styleId="Footer">
    <w:name w:val="footer"/>
    <w:basedOn w:val="Normal"/>
    <w:rsid w:val="00E82A90"/>
    <w:pPr>
      <w:tabs>
        <w:tab w:val="center" w:pos="4153"/>
        <w:tab w:val="right" w:pos="8306"/>
      </w:tabs>
    </w:pPr>
  </w:style>
  <w:style w:type="table" w:styleId="TableGrid">
    <w:name w:val="Table Grid"/>
    <w:basedOn w:val="TableNormal"/>
    <w:rsid w:val="0095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89A"/>
    <w:pPr>
      <w:ind w:left="720"/>
      <w:contextualSpacing/>
    </w:pPr>
    <w:rPr>
      <w:rFonts w:ascii="Arial" w:hAnsi="Arial"/>
      <w:lang w:eastAsia="en-GB"/>
    </w:rPr>
  </w:style>
  <w:style w:type="character" w:customStyle="1" w:styleId="Heading4Char">
    <w:name w:val="Heading 4 Char"/>
    <w:link w:val="Heading4"/>
    <w:rsid w:val="00EF089A"/>
    <w:rPr>
      <w:rFonts w:ascii="Arial" w:hAnsi="Arial" w:cs="Arial"/>
      <w:b/>
      <w:bCs/>
      <w:sz w:val="32"/>
      <w:szCs w:val="24"/>
      <w:lang w:eastAsia="en-US"/>
    </w:rPr>
  </w:style>
  <w:style w:type="paragraph" w:styleId="BalloonText">
    <w:name w:val="Balloon Text"/>
    <w:basedOn w:val="Normal"/>
    <w:link w:val="BalloonTextChar"/>
    <w:rsid w:val="00A14B08"/>
    <w:rPr>
      <w:rFonts w:ascii="Tahoma" w:hAnsi="Tahoma" w:cs="Tahoma"/>
      <w:sz w:val="16"/>
      <w:szCs w:val="16"/>
    </w:rPr>
  </w:style>
  <w:style w:type="character" w:customStyle="1" w:styleId="BalloonTextChar">
    <w:name w:val="Balloon Text Char"/>
    <w:basedOn w:val="DefaultParagraphFont"/>
    <w:link w:val="BalloonText"/>
    <w:rsid w:val="00A14B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Carol Fuller - Project Manager</vt:lpstr>
    </vt:vector>
  </TitlesOfParts>
  <Company>NFPCT</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Fuller - Project Manager</dc:title>
  <dc:creator>ICT</dc:creator>
  <cp:lastModifiedBy>Moya Lenaghan</cp:lastModifiedBy>
  <cp:revision>2</cp:revision>
  <cp:lastPrinted>2004-03-30T07:46:00Z</cp:lastPrinted>
  <dcterms:created xsi:type="dcterms:W3CDTF">2015-12-08T16:11:00Z</dcterms:created>
  <dcterms:modified xsi:type="dcterms:W3CDTF">2015-12-08T16:11:00Z</dcterms:modified>
</cp:coreProperties>
</file>