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373" w:rsidRPr="000F157F" w:rsidRDefault="00086373" w:rsidP="00175C8D">
      <w:pPr>
        <w:spacing w:after="0" w:line="240" w:lineRule="auto"/>
        <w:jc w:val="both"/>
        <w:rPr>
          <w:rFonts w:ascii="Arial Narrow" w:hAnsi="Arial Narrow" w:cs="Arial"/>
          <w:color w:val="000000" w:themeColor="text1"/>
        </w:rPr>
      </w:pPr>
      <w:bookmarkStart w:id="0" w:name="_GoBack"/>
      <w:bookmarkEnd w:id="0"/>
    </w:p>
    <w:p w:rsidR="00086373" w:rsidRPr="000F157F" w:rsidRDefault="00086373" w:rsidP="00175C8D">
      <w:pPr>
        <w:spacing w:after="0" w:line="240" w:lineRule="auto"/>
        <w:jc w:val="both"/>
        <w:rPr>
          <w:rFonts w:ascii="Arial Narrow" w:hAnsi="Arial Narrow" w:cs="Arial"/>
          <w:color w:val="000000" w:themeColor="text1"/>
        </w:rPr>
      </w:pPr>
    </w:p>
    <w:p w:rsidR="00EE5355" w:rsidRPr="000F157F" w:rsidRDefault="00EE5355" w:rsidP="00175C8D">
      <w:pPr>
        <w:spacing w:after="0" w:line="240" w:lineRule="auto"/>
        <w:jc w:val="both"/>
        <w:rPr>
          <w:rFonts w:ascii="Arial Narrow" w:hAnsi="Arial Narrow" w:cs="Arial"/>
          <w:color w:val="000000" w:themeColor="text1"/>
        </w:rPr>
      </w:pPr>
      <w:r w:rsidRPr="000F157F">
        <w:rPr>
          <w:rFonts w:ascii="Arial Narrow" w:hAnsi="Arial Narrow" w:cs="Arial"/>
          <w:color w:val="000000" w:themeColor="text1"/>
        </w:rPr>
        <w:t xml:space="preserve">The Northamptonshire Crisis Care Concordat plan has been revised to reflect countywide priorities for the 12 months from October 2016.  The revised plan focusses specifically on care within a crisis, recognising that work through the Mental Health Transformation Plan and Sustainability and Transformation Plan offer opportunity to address prevention, improved access to support prior to crisis to prevent escalation into crisis and reduce the impact of any crisis and support for recovery following a crisis as part of proactive co-produced care planning.  </w:t>
      </w:r>
    </w:p>
    <w:p w:rsidR="00EE5355" w:rsidRPr="000F157F" w:rsidRDefault="00EE5355" w:rsidP="00175C8D">
      <w:pPr>
        <w:spacing w:after="0" w:line="240" w:lineRule="auto"/>
        <w:jc w:val="both"/>
        <w:rPr>
          <w:rFonts w:ascii="Arial Narrow" w:hAnsi="Arial Narrow" w:cs="Arial"/>
          <w:color w:val="000000" w:themeColor="text1"/>
        </w:rPr>
      </w:pPr>
    </w:p>
    <w:p w:rsidR="000F157F" w:rsidRDefault="000F157F" w:rsidP="00175C8D">
      <w:pPr>
        <w:spacing w:after="0" w:line="240" w:lineRule="auto"/>
        <w:jc w:val="both"/>
        <w:rPr>
          <w:rFonts w:ascii="Arial Narrow" w:hAnsi="Arial Narrow" w:cs="Arial"/>
          <w:color w:val="000000" w:themeColor="text1"/>
        </w:rPr>
      </w:pPr>
      <w:r w:rsidRPr="000F157F">
        <w:rPr>
          <w:rFonts w:ascii="Arial Narrow" w:hAnsi="Arial Narrow" w:cs="Arial"/>
          <w:color w:val="000000" w:themeColor="text1"/>
        </w:rPr>
        <w:t>This new plan focusses on a smaller number of priority areas for this year to enable delivery of desired outcomes and ensure the impact of actions can be measured and reported upon to partners of the Crisis Care Concordat.</w:t>
      </w:r>
    </w:p>
    <w:p w:rsidR="00CF4793" w:rsidRDefault="00CF4793" w:rsidP="00175C8D">
      <w:pPr>
        <w:spacing w:after="0" w:line="240" w:lineRule="auto"/>
        <w:jc w:val="both"/>
        <w:rPr>
          <w:rFonts w:ascii="Arial Narrow" w:hAnsi="Arial Narrow" w:cs="Arial"/>
          <w:color w:val="000000" w:themeColor="text1"/>
        </w:rPr>
      </w:pPr>
    </w:p>
    <w:p w:rsidR="00CF4793" w:rsidRDefault="00CF4793" w:rsidP="00175C8D">
      <w:pPr>
        <w:spacing w:after="0" w:line="240" w:lineRule="auto"/>
        <w:jc w:val="both"/>
        <w:rPr>
          <w:rFonts w:ascii="Arial Narrow" w:hAnsi="Arial Narrow" w:cs="Arial"/>
          <w:b/>
          <w:color w:val="000000" w:themeColor="text1"/>
        </w:rPr>
      </w:pPr>
      <w:r>
        <w:rPr>
          <w:rFonts w:ascii="Arial Narrow" w:hAnsi="Arial Narrow" w:cs="Arial"/>
          <w:b/>
          <w:color w:val="000000" w:themeColor="text1"/>
        </w:rPr>
        <w:t>Priority Areas:-</w:t>
      </w:r>
    </w:p>
    <w:p w:rsidR="00CF4793" w:rsidRDefault="00CF4793" w:rsidP="00175C8D">
      <w:pPr>
        <w:spacing w:after="0" w:line="240" w:lineRule="auto"/>
        <w:jc w:val="both"/>
        <w:rPr>
          <w:rFonts w:ascii="Arial Narrow" w:hAnsi="Arial Narrow" w:cs="Arial"/>
          <w:b/>
          <w:color w:val="000000" w:themeColor="text1"/>
        </w:rPr>
      </w:pPr>
      <w:r w:rsidRPr="00EE5355">
        <w:rPr>
          <w:rFonts w:ascii="Arial Narrow" w:hAnsi="Arial Narrow" w:cs="Arial"/>
          <w:b/>
          <w:color w:val="000000" w:themeColor="text1"/>
        </w:rPr>
        <w:t>Priority area 1: Children and Young People in Crisis</w:t>
      </w:r>
    </w:p>
    <w:p w:rsidR="00CF4793" w:rsidRDefault="00CF4793" w:rsidP="00175C8D">
      <w:pPr>
        <w:spacing w:after="0" w:line="240" w:lineRule="auto"/>
        <w:jc w:val="both"/>
        <w:rPr>
          <w:rFonts w:ascii="Arial Narrow" w:hAnsi="Arial Narrow" w:cs="Arial"/>
          <w:b/>
          <w:color w:val="808080" w:themeColor="background1" w:themeShade="80"/>
        </w:rPr>
      </w:pPr>
      <w:r>
        <w:rPr>
          <w:rFonts w:ascii="Arial Narrow" w:hAnsi="Arial Narrow" w:cs="Arial"/>
          <w:b/>
          <w:color w:val="808080" w:themeColor="background1" w:themeShade="80"/>
        </w:rPr>
        <w:t xml:space="preserve">Outcome: Improved response for Children and Young People experiencing a crisis.  Achieve parity of response with adult </w:t>
      </w:r>
      <w:r w:rsidR="00C169F9">
        <w:rPr>
          <w:rFonts w:ascii="Arial Narrow" w:hAnsi="Arial Narrow" w:cs="Arial"/>
          <w:b/>
          <w:color w:val="808080" w:themeColor="background1" w:themeShade="80"/>
        </w:rPr>
        <w:t>mental health.</w:t>
      </w:r>
    </w:p>
    <w:p w:rsidR="00CF4793" w:rsidRDefault="00CF4793" w:rsidP="00175C8D">
      <w:pPr>
        <w:spacing w:after="0" w:line="240" w:lineRule="auto"/>
        <w:jc w:val="both"/>
        <w:rPr>
          <w:rFonts w:ascii="Arial Narrow" w:hAnsi="Arial Narrow" w:cs="Arial"/>
          <w:b/>
        </w:rPr>
      </w:pPr>
      <w:r>
        <w:rPr>
          <w:rFonts w:ascii="Arial Narrow" w:hAnsi="Arial Narrow" w:cs="Arial"/>
          <w:b/>
        </w:rPr>
        <w:t xml:space="preserve">Priority Area 2: Street Triage </w:t>
      </w:r>
    </w:p>
    <w:p w:rsidR="00CF4793" w:rsidRDefault="00CF4793" w:rsidP="00175C8D">
      <w:pPr>
        <w:spacing w:after="0" w:line="240" w:lineRule="auto"/>
        <w:jc w:val="both"/>
        <w:rPr>
          <w:rFonts w:ascii="Arial Narrow" w:hAnsi="Arial Narrow" w:cs="Arial"/>
          <w:b/>
          <w:color w:val="808080" w:themeColor="background1" w:themeShade="80"/>
        </w:rPr>
      </w:pPr>
      <w:r>
        <w:rPr>
          <w:rFonts w:ascii="Arial Narrow" w:hAnsi="Arial Narrow" w:cs="Arial"/>
          <w:b/>
          <w:color w:val="808080" w:themeColor="background1" w:themeShade="80"/>
        </w:rPr>
        <w:t xml:space="preserve">Outcome: Street Triage model is fit for purpose and provides appropriate coordinated response to those in crisis, ensuring people </w:t>
      </w:r>
      <w:r w:rsidR="00C169F9">
        <w:rPr>
          <w:rFonts w:ascii="Arial Narrow" w:hAnsi="Arial Narrow" w:cs="Arial"/>
          <w:b/>
          <w:color w:val="808080" w:themeColor="background1" w:themeShade="80"/>
        </w:rPr>
        <w:t xml:space="preserve">of all ages </w:t>
      </w:r>
      <w:r>
        <w:rPr>
          <w:rFonts w:ascii="Arial Narrow" w:hAnsi="Arial Narrow" w:cs="Arial"/>
          <w:b/>
          <w:color w:val="808080" w:themeColor="background1" w:themeShade="80"/>
        </w:rPr>
        <w:t>are supported by the right service at the right time.</w:t>
      </w:r>
    </w:p>
    <w:p w:rsidR="00CF4793" w:rsidRDefault="00CF4793" w:rsidP="00175C8D">
      <w:pPr>
        <w:spacing w:after="0" w:line="240" w:lineRule="auto"/>
        <w:jc w:val="both"/>
        <w:rPr>
          <w:rFonts w:ascii="Arial Narrow" w:hAnsi="Arial Narrow" w:cs="Arial"/>
          <w:b/>
        </w:rPr>
      </w:pPr>
      <w:r>
        <w:rPr>
          <w:rFonts w:ascii="Arial Narrow" w:hAnsi="Arial Narrow" w:cs="Arial"/>
          <w:b/>
        </w:rPr>
        <w:t>Priority Area 3: Information available to service users, carers and professionals in a crisis</w:t>
      </w:r>
    </w:p>
    <w:p w:rsidR="003E3263" w:rsidRDefault="00CF4793" w:rsidP="00175C8D">
      <w:pPr>
        <w:spacing w:after="0" w:line="240" w:lineRule="auto"/>
        <w:jc w:val="both"/>
        <w:rPr>
          <w:rFonts w:ascii="Arial Narrow" w:hAnsi="Arial Narrow" w:cs="Arial"/>
          <w:b/>
          <w:color w:val="808080" w:themeColor="background1" w:themeShade="80"/>
        </w:rPr>
      </w:pPr>
      <w:r>
        <w:rPr>
          <w:rFonts w:ascii="Arial Narrow" w:hAnsi="Arial Narrow" w:cs="Arial"/>
          <w:b/>
          <w:color w:val="808080" w:themeColor="background1" w:themeShade="80"/>
        </w:rPr>
        <w:t xml:space="preserve">Outcome: </w:t>
      </w:r>
      <w:r w:rsidR="00C169F9">
        <w:rPr>
          <w:rFonts w:ascii="Arial Narrow" w:hAnsi="Arial Narrow" w:cs="Arial"/>
          <w:b/>
          <w:color w:val="808080" w:themeColor="background1" w:themeShade="80"/>
        </w:rPr>
        <w:t>Easily</w:t>
      </w:r>
      <w:r w:rsidR="00536D4B">
        <w:rPr>
          <w:rFonts w:ascii="Arial Narrow" w:hAnsi="Arial Narrow" w:cs="Arial"/>
          <w:b/>
          <w:color w:val="808080" w:themeColor="background1" w:themeShade="80"/>
        </w:rPr>
        <w:t xml:space="preserve"> accessible information regarding services and support is </w:t>
      </w:r>
      <w:r w:rsidR="00C169F9">
        <w:rPr>
          <w:rFonts w:ascii="Arial Narrow" w:hAnsi="Arial Narrow" w:cs="Arial"/>
          <w:b/>
          <w:color w:val="808080" w:themeColor="background1" w:themeShade="80"/>
        </w:rPr>
        <w:t xml:space="preserve">widely </w:t>
      </w:r>
      <w:r w:rsidR="00536D4B">
        <w:rPr>
          <w:rFonts w:ascii="Arial Narrow" w:hAnsi="Arial Narrow" w:cs="Arial"/>
          <w:b/>
          <w:color w:val="808080" w:themeColor="background1" w:themeShade="80"/>
        </w:rPr>
        <w:t>available to service users, carers and professionals</w:t>
      </w:r>
    </w:p>
    <w:p w:rsidR="00CF4793" w:rsidRDefault="00CF4793" w:rsidP="00175C8D">
      <w:pPr>
        <w:spacing w:after="0" w:line="240" w:lineRule="auto"/>
        <w:jc w:val="both"/>
        <w:rPr>
          <w:rFonts w:ascii="Arial Narrow" w:hAnsi="Arial Narrow" w:cs="Arial"/>
        </w:rPr>
      </w:pPr>
      <w:r>
        <w:rPr>
          <w:rFonts w:ascii="Arial Narrow" w:hAnsi="Arial Narrow" w:cs="Arial"/>
          <w:b/>
        </w:rPr>
        <w:t xml:space="preserve">Priority Area 4: Complex Individuals </w:t>
      </w:r>
      <w:r>
        <w:rPr>
          <w:rFonts w:ascii="Arial Narrow" w:hAnsi="Arial Narrow" w:cs="Arial"/>
        </w:rPr>
        <w:t xml:space="preserve">(includes those who frequently present across the system in </w:t>
      </w:r>
      <w:r w:rsidR="00536D4B">
        <w:rPr>
          <w:rFonts w:ascii="Arial Narrow" w:hAnsi="Arial Narrow" w:cs="Arial"/>
        </w:rPr>
        <w:t>mental health crisis</w:t>
      </w:r>
      <w:r>
        <w:rPr>
          <w:rFonts w:ascii="Arial Narrow" w:hAnsi="Arial Narrow" w:cs="Arial"/>
        </w:rPr>
        <w:t>, those with dual diagnosis or other complex presentations)</w:t>
      </w:r>
    </w:p>
    <w:p w:rsidR="00CF4793" w:rsidRDefault="00CF4793" w:rsidP="00CF4793">
      <w:pPr>
        <w:spacing w:after="0" w:line="240" w:lineRule="auto"/>
        <w:jc w:val="both"/>
        <w:rPr>
          <w:rFonts w:ascii="Arial Narrow" w:hAnsi="Arial Narrow" w:cs="Arial"/>
          <w:b/>
          <w:color w:val="808080" w:themeColor="background1" w:themeShade="80"/>
        </w:rPr>
      </w:pPr>
      <w:r>
        <w:rPr>
          <w:rFonts w:ascii="Arial Narrow" w:hAnsi="Arial Narrow" w:cs="Arial"/>
          <w:b/>
          <w:color w:val="808080" w:themeColor="background1" w:themeShade="80"/>
        </w:rPr>
        <w:t xml:space="preserve">Outcome: </w:t>
      </w:r>
      <w:r w:rsidR="003E3263">
        <w:rPr>
          <w:rFonts w:ascii="Arial Narrow" w:hAnsi="Arial Narrow" w:cs="Arial"/>
          <w:b/>
          <w:color w:val="808080" w:themeColor="background1" w:themeShade="80"/>
        </w:rPr>
        <w:t>Improved system response to complex individuals</w:t>
      </w:r>
      <w:r w:rsidR="00C169F9">
        <w:rPr>
          <w:rFonts w:ascii="Arial Narrow" w:hAnsi="Arial Narrow" w:cs="Arial"/>
          <w:b/>
          <w:color w:val="808080" w:themeColor="background1" w:themeShade="80"/>
        </w:rPr>
        <w:t xml:space="preserve"> that supports people to access the most appropriate interventions to meet their needs</w:t>
      </w:r>
    </w:p>
    <w:p w:rsidR="00536D4B" w:rsidRPr="00536D4B" w:rsidRDefault="00536D4B" w:rsidP="00CF4793">
      <w:pPr>
        <w:spacing w:after="0" w:line="240" w:lineRule="auto"/>
        <w:jc w:val="both"/>
        <w:rPr>
          <w:rFonts w:ascii="Arial Narrow" w:hAnsi="Arial Narrow" w:cs="Arial"/>
          <w:b/>
          <w:color w:val="808080" w:themeColor="background1" w:themeShade="80"/>
        </w:rPr>
      </w:pPr>
    </w:p>
    <w:p w:rsidR="00CF4793" w:rsidRDefault="00CF4793" w:rsidP="00175C8D">
      <w:pPr>
        <w:spacing w:after="0" w:line="240" w:lineRule="auto"/>
        <w:jc w:val="both"/>
        <w:rPr>
          <w:rFonts w:ascii="Arial Narrow" w:hAnsi="Arial Narrow" w:cs="Arial"/>
          <w:b/>
          <w:color w:val="808080" w:themeColor="background1" w:themeShade="80"/>
        </w:rPr>
      </w:pPr>
    </w:p>
    <w:p w:rsidR="00CF4793" w:rsidRPr="00CF4793" w:rsidRDefault="00CF4793" w:rsidP="00175C8D">
      <w:pPr>
        <w:spacing w:after="0" w:line="240" w:lineRule="auto"/>
        <w:jc w:val="both"/>
        <w:rPr>
          <w:rFonts w:ascii="Arial Narrow" w:hAnsi="Arial Narrow" w:cs="Arial"/>
          <w:b/>
          <w:color w:val="000000" w:themeColor="text1"/>
        </w:rPr>
      </w:pPr>
    </w:p>
    <w:p w:rsidR="00CF4793" w:rsidRPr="000F157F" w:rsidRDefault="00CF4793" w:rsidP="00175C8D">
      <w:pPr>
        <w:spacing w:after="0" w:line="240" w:lineRule="auto"/>
        <w:jc w:val="both"/>
        <w:rPr>
          <w:rFonts w:ascii="Arial Narrow" w:hAnsi="Arial Narrow" w:cs="Arial"/>
          <w:color w:val="000000" w:themeColor="text1"/>
        </w:rPr>
      </w:pPr>
    </w:p>
    <w:p w:rsidR="00175C8D" w:rsidRPr="005F4A41" w:rsidRDefault="00175C8D" w:rsidP="00CF4793">
      <w:pPr>
        <w:spacing w:after="0" w:line="240" w:lineRule="auto"/>
        <w:rPr>
          <w:rFonts w:ascii="Arial Narrow" w:hAnsi="Arial Narrow" w:cs="Arial"/>
          <w:b/>
        </w:rPr>
      </w:pPr>
    </w:p>
    <w:p w:rsidR="00086373" w:rsidRDefault="000F157F" w:rsidP="00BE22F4">
      <w:pPr>
        <w:spacing w:after="0" w:line="240" w:lineRule="auto"/>
      </w:pPr>
      <w:r>
        <w:t xml:space="preserve">Action status: </w:t>
      </w:r>
    </w:p>
    <w:p w:rsidR="00086373" w:rsidRDefault="00086373">
      <w:pPr>
        <w:rPr>
          <w:rFonts w:ascii="Arial Narrow" w:hAnsi="Arial Narrow" w:cs="Arial"/>
        </w:rPr>
      </w:pPr>
      <w:r w:rsidRPr="0013534B">
        <w:rPr>
          <w:rFonts w:ascii="Arial Narrow" w:hAnsi="Arial Narrow" w:cs="Arial"/>
          <w:b/>
          <w:color w:val="FF0000"/>
        </w:rPr>
        <w:t>Red</w:t>
      </w:r>
      <w:r>
        <w:rPr>
          <w:rFonts w:ascii="Arial Narrow" w:hAnsi="Arial Narrow" w:cs="Arial"/>
        </w:rPr>
        <w:t xml:space="preserve"> – Not yet started, </w:t>
      </w:r>
      <w:r w:rsidRPr="0013534B">
        <w:rPr>
          <w:rFonts w:ascii="Arial Narrow" w:hAnsi="Arial Narrow" w:cs="Arial"/>
          <w:b/>
          <w:color w:val="FFC000"/>
        </w:rPr>
        <w:t>Amber</w:t>
      </w:r>
      <w:r>
        <w:rPr>
          <w:rFonts w:ascii="Arial Narrow" w:hAnsi="Arial Narrow" w:cs="Arial"/>
          <w:color w:val="FFC000"/>
        </w:rPr>
        <w:t xml:space="preserve"> </w:t>
      </w:r>
      <w:r>
        <w:rPr>
          <w:rFonts w:ascii="Arial Narrow" w:hAnsi="Arial Narrow" w:cs="Arial"/>
        </w:rPr>
        <w:t xml:space="preserve">– Ongoing, </w:t>
      </w:r>
      <w:r w:rsidRPr="0013534B">
        <w:rPr>
          <w:rFonts w:ascii="Arial Narrow" w:hAnsi="Arial Narrow" w:cs="Arial"/>
          <w:b/>
          <w:color w:val="92D050"/>
        </w:rPr>
        <w:t>Green</w:t>
      </w:r>
      <w:r>
        <w:rPr>
          <w:rFonts w:ascii="Arial Narrow" w:hAnsi="Arial Narrow" w:cs="Arial"/>
        </w:rPr>
        <w:t xml:space="preserve"> – Completed</w:t>
      </w:r>
    </w:p>
    <w:p w:rsidR="00536D4B" w:rsidRDefault="00536D4B">
      <w:pPr>
        <w:rPr>
          <w:rFonts w:ascii="Arial Narrow" w:hAnsi="Arial Narrow" w:cs="Arial"/>
        </w:rPr>
      </w:pPr>
    </w:p>
    <w:p w:rsidR="00536D4B" w:rsidRDefault="00536D4B"/>
    <w:tbl>
      <w:tblPr>
        <w:tblStyle w:val="TableGrid"/>
        <w:tblpPr w:leftFromText="181" w:rightFromText="181" w:vertAnchor="text" w:horzAnchor="margin" w:tblpY="304"/>
        <w:tblW w:w="14842" w:type="dxa"/>
        <w:tblLook w:val="04A0" w:firstRow="1" w:lastRow="0" w:firstColumn="1" w:lastColumn="0" w:noHBand="0" w:noVBand="1"/>
      </w:tblPr>
      <w:tblGrid>
        <w:gridCol w:w="694"/>
        <w:gridCol w:w="1682"/>
        <w:gridCol w:w="281"/>
        <w:gridCol w:w="3140"/>
        <w:gridCol w:w="2488"/>
        <w:gridCol w:w="2596"/>
        <w:gridCol w:w="2552"/>
        <w:gridCol w:w="1409"/>
      </w:tblGrid>
      <w:tr w:rsidR="003E3263" w:rsidRPr="005F4A41" w:rsidTr="003E3263">
        <w:trPr>
          <w:cantSplit/>
          <w:trHeight w:val="567"/>
        </w:trPr>
        <w:tc>
          <w:tcPr>
            <w:tcW w:w="2657" w:type="dxa"/>
            <w:gridSpan w:val="3"/>
            <w:shd w:val="clear" w:color="auto" w:fill="003366"/>
          </w:tcPr>
          <w:p w:rsidR="003E3263" w:rsidRPr="005F4A41" w:rsidRDefault="003E3263" w:rsidP="00EE5355">
            <w:pPr>
              <w:pStyle w:val="ListParagraph"/>
              <w:jc w:val="center"/>
              <w:rPr>
                <w:rFonts w:ascii="Tahoma" w:hAnsi="Tahoma" w:cs="Tahoma"/>
                <w:b/>
                <w:color w:val="FFFFFF" w:themeColor="background1"/>
                <w:sz w:val="24"/>
                <w:szCs w:val="24"/>
              </w:rPr>
            </w:pPr>
          </w:p>
        </w:tc>
        <w:tc>
          <w:tcPr>
            <w:tcW w:w="12185" w:type="dxa"/>
            <w:gridSpan w:val="5"/>
            <w:shd w:val="clear" w:color="auto" w:fill="003366"/>
            <w:vAlign w:val="center"/>
          </w:tcPr>
          <w:p w:rsidR="003E3263" w:rsidRPr="005F4A41" w:rsidRDefault="003E3263" w:rsidP="00EE5355">
            <w:pPr>
              <w:pStyle w:val="ListParagraph"/>
              <w:jc w:val="center"/>
              <w:rPr>
                <w:rFonts w:ascii="Tahoma" w:hAnsi="Tahoma" w:cs="Tahoma"/>
                <w:b/>
                <w:color w:val="FFFFFF" w:themeColor="background1"/>
                <w:sz w:val="24"/>
                <w:szCs w:val="24"/>
              </w:rPr>
            </w:pPr>
          </w:p>
        </w:tc>
      </w:tr>
      <w:tr w:rsidR="003E3263" w:rsidRPr="005F4A41" w:rsidTr="00536D4B">
        <w:trPr>
          <w:cantSplit/>
          <w:trHeight w:val="838"/>
        </w:trPr>
        <w:tc>
          <w:tcPr>
            <w:tcW w:w="694" w:type="dxa"/>
            <w:shd w:val="clear" w:color="auto" w:fill="61AEB5"/>
            <w:vAlign w:val="center"/>
          </w:tcPr>
          <w:p w:rsidR="003E3263" w:rsidRPr="005F4A41" w:rsidRDefault="003E3263" w:rsidP="003E3263">
            <w:pPr>
              <w:jc w:val="center"/>
              <w:rPr>
                <w:rFonts w:ascii="Tahoma" w:hAnsi="Tahoma" w:cs="Tahoma"/>
                <w:b/>
                <w:bCs/>
                <w:color w:val="FFFFFF" w:themeColor="background1"/>
                <w:sz w:val="24"/>
                <w:szCs w:val="24"/>
              </w:rPr>
            </w:pPr>
            <w:r w:rsidRPr="005F4A41">
              <w:rPr>
                <w:rFonts w:ascii="Tahoma" w:hAnsi="Tahoma" w:cs="Tahoma"/>
                <w:b/>
                <w:bCs/>
                <w:color w:val="FFFFFF" w:themeColor="background1"/>
                <w:sz w:val="24"/>
                <w:szCs w:val="24"/>
              </w:rPr>
              <w:t>No.</w:t>
            </w:r>
          </w:p>
        </w:tc>
        <w:tc>
          <w:tcPr>
            <w:tcW w:w="1682" w:type="dxa"/>
            <w:shd w:val="clear" w:color="auto" w:fill="61AEB5"/>
            <w:vAlign w:val="center"/>
          </w:tcPr>
          <w:p w:rsidR="003E3263" w:rsidRPr="005F4A41" w:rsidRDefault="003E3263" w:rsidP="003E3263">
            <w:pPr>
              <w:jc w:val="center"/>
              <w:rPr>
                <w:rFonts w:ascii="Tahoma" w:hAnsi="Tahoma" w:cs="Tahoma"/>
                <w:b/>
                <w:bCs/>
                <w:color w:val="FFFFFF" w:themeColor="background1"/>
                <w:sz w:val="24"/>
                <w:szCs w:val="24"/>
              </w:rPr>
            </w:pPr>
            <w:r>
              <w:rPr>
                <w:rFonts w:ascii="Tahoma" w:hAnsi="Tahoma" w:cs="Tahoma"/>
                <w:b/>
                <w:bCs/>
                <w:color w:val="FFFFFF" w:themeColor="background1"/>
                <w:sz w:val="24"/>
                <w:szCs w:val="24"/>
              </w:rPr>
              <w:t>Priority Area</w:t>
            </w:r>
          </w:p>
        </w:tc>
        <w:tc>
          <w:tcPr>
            <w:tcW w:w="3421" w:type="dxa"/>
            <w:gridSpan w:val="2"/>
            <w:shd w:val="clear" w:color="auto" w:fill="61AEB5"/>
            <w:vAlign w:val="center"/>
          </w:tcPr>
          <w:p w:rsidR="003E3263" w:rsidRPr="005F4A41" w:rsidRDefault="003E3263" w:rsidP="003E3263">
            <w:pPr>
              <w:jc w:val="center"/>
              <w:rPr>
                <w:rFonts w:ascii="Tahoma" w:hAnsi="Tahoma" w:cs="Tahoma"/>
                <w:b/>
                <w:bCs/>
                <w:color w:val="FFFFFF" w:themeColor="background1"/>
                <w:sz w:val="24"/>
                <w:szCs w:val="24"/>
              </w:rPr>
            </w:pPr>
            <w:r>
              <w:rPr>
                <w:rFonts w:ascii="Tahoma" w:hAnsi="Tahoma" w:cs="Tahoma"/>
                <w:b/>
                <w:bCs/>
                <w:color w:val="FFFFFF" w:themeColor="background1"/>
                <w:sz w:val="24"/>
                <w:szCs w:val="24"/>
              </w:rPr>
              <w:t>Action</w:t>
            </w:r>
          </w:p>
        </w:tc>
        <w:tc>
          <w:tcPr>
            <w:tcW w:w="2488" w:type="dxa"/>
            <w:shd w:val="clear" w:color="auto" w:fill="61AEB5"/>
            <w:vAlign w:val="center"/>
          </w:tcPr>
          <w:p w:rsidR="003E3263" w:rsidRPr="005F4A41" w:rsidRDefault="003E3263" w:rsidP="003E3263">
            <w:pPr>
              <w:jc w:val="center"/>
              <w:rPr>
                <w:rFonts w:ascii="Tahoma" w:hAnsi="Tahoma" w:cs="Tahoma"/>
                <w:b/>
                <w:bCs/>
                <w:color w:val="FFFFFF" w:themeColor="background1"/>
                <w:sz w:val="24"/>
                <w:szCs w:val="24"/>
              </w:rPr>
            </w:pPr>
            <w:r>
              <w:rPr>
                <w:rFonts w:ascii="Tahoma" w:hAnsi="Tahoma" w:cs="Tahoma"/>
                <w:b/>
                <w:bCs/>
                <w:color w:val="FFFFFF" w:themeColor="background1"/>
                <w:sz w:val="24"/>
                <w:szCs w:val="24"/>
              </w:rPr>
              <w:t>Measures</w:t>
            </w:r>
          </w:p>
        </w:tc>
        <w:tc>
          <w:tcPr>
            <w:tcW w:w="2596" w:type="dxa"/>
            <w:shd w:val="clear" w:color="auto" w:fill="61AEB5"/>
            <w:vAlign w:val="center"/>
          </w:tcPr>
          <w:p w:rsidR="003E3263" w:rsidRPr="005F4A41" w:rsidRDefault="003E3263" w:rsidP="003E3263">
            <w:pPr>
              <w:jc w:val="center"/>
              <w:rPr>
                <w:rFonts w:ascii="Tahoma" w:hAnsi="Tahoma" w:cs="Tahoma"/>
                <w:b/>
                <w:bCs/>
                <w:color w:val="FFFFFF" w:themeColor="background1"/>
                <w:sz w:val="24"/>
                <w:szCs w:val="24"/>
              </w:rPr>
            </w:pPr>
            <w:r>
              <w:rPr>
                <w:rFonts w:ascii="Tahoma" w:hAnsi="Tahoma" w:cs="Tahoma"/>
                <w:b/>
                <w:bCs/>
                <w:color w:val="FFFFFF" w:themeColor="background1"/>
                <w:sz w:val="24"/>
                <w:szCs w:val="24"/>
              </w:rPr>
              <w:t>Led by</w:t>
            </w:r>
          </w:p>
        </w:tc>
        <w:tc>
          <w:tcPr>
            <w:tcW w:w="2552" w:type="dxa"/>
            <w:shd w:val="clear" w:color="auto" w:fill="61AEB5"/>
          </w:tcPr>
          <w:p w:rsidR="003E3263" w:rsidRDefault="003E3263" w:rsidP="003E3263">
            <w:pPr>
              <w:jc w:val="center"/>
              <w:rPr>
                <w:rFonts w:ascii="Tahoma" w:hAnsi="Tahoma" w:cs="Tahoma"/>
                <w:b/>
                <w:bCs/>
                <w:color w:val="FFFFFF" w:themeColor="background1"/>
                <w:sz w:val="24"/>
                <w:szCs w:val="24"/>
              </w:rPr>
            </w:pPr>
          </w:p>
          <w:p w:rsidR="003E3263" w:rsidRPr="005F4A41" w:rsidRDefault="003E3263" w:rsidP="003E3263">
            <w:pPr>
              <w:jc w:val="center"/>
              <w:rPr>
                <w:rFonts w:ascii="Tahoma" w:hAnsi="Tahoma" w:cs="Tahoma"/>
                <w:b/>
                <w:bCs/>
                <w:color w:val="FFFFFF" w:themeColor="background1"/>
                <w:sz w:val="20"/>
                <w:szCs w:val="20"/>
              </w:rPr>
            </w:pPr>
            <w:r>
              <w:rPr>
                <w:rFonts w:ascii="Tahoma" w:hAnsi="Tahoma" w:cs="Tahoma"/>
                <w:b/>
                <w:bCs/>
                <w:color w:val="FFFFFF" w:themeColor="background1"/>
                <w:sz w:val="24"/>
                <w:szCs w:val="24"/>
              </w:rPr>
              <w:t>Timescale</w:t>
            </w:r>
          </w:p>
        </w:tc>
        <w:tc>
          <w:tcPr>
            <w:tcW w:w="1409" w:type="dxa"/>
            <w:tcBorders>
              <w:bottom w:val="single" w:sz="4" w:space="0" w:color="auto"/>
            </w:tcBorders>
            <w:shd w:val="clear" w:color="auto" w:fill="61AEB5"/>
            <w:vAlign w:val="center"/>
          </w:tcPr>
          <w:p w:rsidR="003E3263" w:rsidRPr="003E3263" w:rsidRDefault="003E3263" w:rsidP="003E3263">
            <w:pPr>
              <w:jc w:val="center"/>
              <w:rPr>
                <w:rFonts w:ascii="Tahoma" w:hAnsi="Tahoma" w:cs="Tahoma"/>
                <w:b/>
                <w:bCs/>
                <w:color w:val="FFFFFF" w:themeColor="background1"/>
                <w:sz w:val="24"/>
                <w:szCs w:val="24"/>
              </w:rPr>
            </w:pPr>
            <w:r w:rsidRPr="003E3263">
              <w:rPr>
                <w:rFonts w:ascii="Tahoma" w:hAnsi="Tahoma" w:cs="Tahoma"/>
                <w:b/>
                <w:bCs/>
                <w:color w:val="FFFFFF" w:themeColor="background1"/>
                <w:sz w:val="24"/>
                <w:szCs w:val="24"/>
              </w:rPr>
              <w:t>Rag Rating</w:t>
            </w:r>
          </w:p>
        </w:tc>
      </w:tr>
      <w:tr w:rsidR="003E3263" w:rsidRPr="005F4A41" w:rsidTr="00536D4B">
        <w:trPr>
          <w:cantSplit/>
        </w:trPr>
        <w:tc>
          <w:tcPr>
            <w:tcW w:w="694" w:type="dxa"/>
            <w:tcMar>
              <w:top w:w="108" w:type="dxa"/>
              <w:bottom w:w="170" w:type="dxa"/>
            </w:tcMar>
          </w:tcPr>
          <w:p w:rsidR="003E3263" w:rsidRDefault="003E3263" w:rsidP="00EE5355">
            <w:pPr>
              <w:jc w:val="both"/>
              <w:rPr>
                <w:rFonts w:ascii="Arial Narrow" w:hAnsi="Arial Narrow" w:cs="Arial"/>
                <w:b/>
                <w:color w:val="808080" w:themeColor="background1" w:themeShade="80"/>
              </w:rPr>
            </w:pPr>
            <w:r>
              <w:rPr>
                <w:rFonts w:ascii="Arial Narrow" w:hAnsi="Arial Narrow" w:cs="Arial"/>
                <w:b/>
                <w:color w:val="808080" w:themeColor="background1" w:themeShade="80"/>
              </w:rPr>
              <w:t>1.</w:t>
            </w:r>
          </w:p>
        </w:tc>
        <w:tc>
          <w:tcPr>
            <w:tcW w:w="1682" w:type="dxa"/>
            <w:tcMar>
              <w:top w:w="108" w:type="dxa"/>
              <w:bottom w:w="170" w:type="dxa"/>
            </w:tcMar>
          </w:tcPr>
          <w:p w:rsidR="003E3263" w:rsidRPr="00536D4B" w:rsidRDefault="003E3263" w:rsidP="00EE5355">
            <w:pPr>
              <w:autoSpaceDE w:val="0"/>
              <w:autoSpaceDN w:val="0"/>
              <w:adjustRightInd w:val="0"/>
              <w:rPr>
                <w:rFonts w:ascii="Arial Narrow" w:hAnsi="Arial Narrow" w:cs="Arial"/>
                <w:b/>
                <w:color w:val="000000" w:themeColor="text1"/>
              </w:rPr>
            </w:pPr>
            <w:r w:rsidRPr="00536D4B">
              <w:rPr>
                <w:rFonts w:ascii="Arial Narrow" w:hAnsi="Arial Narrow" w:cs="Arial"/>
                <w:b/>
                <w:color w:val="000000" w:themeColor="text1"/>
              </w:rPr>
              <w:t>Children and Young People in Crisis</w:t>
            </w:r>
          </w:p>
        </w:tc>
        <w:tc>
          <w:tcPr>
            <w:tcW w:w="3421" w:type="dxa"/>
            <w:gridSpan w:val="2"/>
          </w:tcPr>
          <w:p w:rsidR="003E3263" w:rsidRPr="003E3263" w:rsidRDefault="003E3263" w:rsidP="00C169F9">
            <w:pPr>
              <w:rPr>
                <w:rFonts w:ascii="Arial Narrow" w:hAnsi="Arial Narrow" w:cs="Arial"/>
                <w:color w:val="808080" w:themeColor="background1" w:themeShade="80"/>
              </w:rPr>
            </w:pPr>
            <w:r>
              <w:rPr>
                <w:rFonts w:ascii="Arial Narrow" w:hAnsi="Arial Narrow" w:cs="Arial"/>
                <w:color w:val="808080" w:themeColor="background1" w:themeShade="80"/>
              </w:rPr>
              <w:t>Development of place of safety</w:t>
            </w:r>
            <w:r w:rsidR="00542C74">
              <w:rPr>
                <w:rFonts w:ascii="Arial Narrow" w:hAnsi="Arial Narrow" w:cs="Arial"/>
                <w:color w:val="808080" w:themeColor="background1" w:themeShade="80"/>
              </w:rPr>
              <w:t xml:space="preserve"> for children and young people in </w:t>
            </w:r>
            <w:r w:rsidR="00536D4B">
              <w:rPr>
                <w:rFonts w:ascii="Arial Narrow" w:hAnsi="Arial Narrow" w:cs="Arial"/>
                <w:color w:val="808080" w:themeColor="background1" w:themeShade="80"/>
              </w:rPr>
              <w:t xml:space="preserve">crisis that </w:t>
            </w:r>
            <w:r w:rsidR="00C169F9">
              <w:rPr>
                <w:rFonts w:ascii="Arial Narrow" w:hAnsi="Arial Narrow" w:cs="Arial"/>
                <w:color w:val="808080" w:themeColor="background1" w:themeShade="80"/>
              </w:rPr>
              <w:t>offers an alternative to A&amp;E</w:t>
            </w:r>
            <w:r w:rsidR="00536D4B">
              <w:rPr>
                <w:rFonts w:ascii="Arial Narrow" w:hAnsi="Arial Narrow" w:cs="Arial"/>
                <w:color w:val="808080" w:themeColor="background1" w:themeShade="80"/>
              </w:rPr>
              <w:t xml:space="preserve"> and ensure</w:t>
            </w:r>
            <w:r w:rsidR="00C169F9">
              <w:rPr>
                <w:rFonts w:ascii="Arial Narrow" w:hAnsi="Arial Narrow" w:cs="Arial"/>
                <w:color w:val="808080" w:themeColor="background1" w:themeShade="80"/>
              </w:rPr>
              <w:t>s</w:t>
            </w:r>
            <w:r w:rsidR="00536D4B">
              <w:rPr>
                <w:rFonts w:ascii="Arial Narrow" w:hAnsi="Arial Narrow" w:cs="Arial"/>
                <w:color w:val="808080" w:themeColor="background1" w:themeShade="80"/>
              </w:rPr>
              <w:t xml:space="preserve"> availability of an appropriate safe space for children and young people detained on S136</w:t>
            </w:r>
          </w:p>
        </w:tc>
        <w:tc>
          <w:tcPr>
            <w:tcW w:w="2488" w:type="dxa"/>
            <w:vMerge w:val="restart"/>
            <w:tcMar>
              <w:top w:w="108" w:type="dxa"/>
              <w:bottom w:w="170" w:type="dxa"/>
            </w:tcMar>
          </w:tcPr>
          <w:p w:rsidR="00C169F9" w:rsidRDefault="00C169F9" w:rsidP="003E3263">
            <w:pPr>
              <w:pStyle w:val="ListParagraph"/>
              <w:numPr>
                <w:ilvl w:val="0"/>
                <w:numId w:val="38"/>
              </w:numPr>
              <w:rPr>
                <w:rFonts w:ascii="Arial Narrow" w:hAnsi="Arial Narrow" w:cs="Arial"/>
                <w:color w:val="808080" w:themeColor="background1" w:themeShade="80"/>
              </w:rPr>
            </w:pPr>
            <w:r>
              <w:rPr>
                <w:rFonts w:ascii="Arial Narrow" w:hAnsi="Arial Narrow" w:cs="Arial"/>
                <w:color w:val="808080" w:themeColor="background1" w:themeShade="80"/>
              </w:rPr>
              <w:t>Baseline demand and capacity for children and young people mental health crisis response</w:t>
            </w:r>
          </w:p>
          <w:p w:rsidR="003E3263" w:rsidRPr="003E3263" w:rsidRDefault="003E3263" w:rsidP="003E3263">
            <w:pPr>
              <w:pStyle w:val="ListParagraph"/>
              <w:numPr>
                <w:ilvl w:val="0"/>
                <w:numId w:val="38"/>
              </w:numPr>
              <w:rPr>
                <w:rFonts w:ascii="Arial Narrow" w:hAnsi="Arial Narrow" w:cs="Arial"/>
                <w:color w:val="808080" w:themeColor="background1" w:themeShade="80"/>
              </w:rPr>
            </w:pPr>
            <w:r w:rsidRPr="003E3263">
              <w:rPr>
                <w:rFonts w:ascii="Arial Narrow" w:hAnsi="Arial Narrow" w:cs="Arial"/>
                <w:color w:val="808080" w:themeColor="background1" w:themeShade="80"/>
              </w:rPr>
              <w:t>Patient experience measure for CYP in crisis</w:t>
            </w:r>
            <w:r w:rsidR="00C169F9">
              <w:rPr>
                <w:rFonts w:ascii="Arial Narrow" w:hAnsi="Arial Narrow" w:cs="Arial"/>
                <w:color w:val="808080" w:themeColor="background1" w:themeShade="80"/>
              </w:rPr>
              <w:t xml:space="preserve"> – baseline and set target for improvement</w:t>
            </w:r>
          </w:p>
          <w:p w:rsidR="003E3263" w:rsidRPr="003E3263" w:rsidRDefault="003E3263" w:rsidP="003E3263">
            <w:pPr>
              <w:pStyle w:val="ListParagraph"/>
              <w:numPr>
                <w:ilvl w:val="0"/>
                <w:numId w:val="38"/>
              </w:numPr>
              <w:rPr>
                <w:rFonts w:ascii="Arial Narrow" w:hAnsi="Arial Narrow" w:cs="Arial"/>
                <w:color w:val="808080" w:themeColor="background1" w:themeShade="80"/>
              </w:rPr>
            </w:pPr>
            <w:r w:rsidRPr="003E3263">
              <w:rPr>
                <w:rFonts w:ascii="Arial Narrow" w:hAnsi="Arial Narrow" w:cs="Arial"/>
                <w:color w:val="808080" w:themeColor="background1" w:themeShade="80"/>
              </w:rPr>
              <w:t xml:space="preserve">Number of children and young people presenting to A&amp;E for reasons relating to mental health </w:t>
            </w:r>
            <w:r w:rsidR="00C169F9">
              <w:rPr>
                <w:rFonts w:ascii="Arial Narrow" w:hAnsi="Arial Narrow" w:cs="Arial"/>
                <w:color w:val="808080" w:themeColor="background1" w:themeShade="80"/>
              </w:rPr>
              <w:t xml:space="preserve">and requiring no physical health intervention </w:t>
            </w:r>
            <w:r w:rsidRPr="003E3263">
              <w:rPr>
                <w:rFonts w:ascii="Arial Narrow" w:hAnsi="Arial Narrow" w:cs="Arial"/>
                <w:color w:val="808080" w:themeColor="background1" w:themeShade="80"/>
              </w:rPr>
              <w:t>(expected reduction)</w:t>
            </w:r>
          </w:p>
          <w:p w:rsidR="003E3263" w:rsidRPr="00C169F9" w:rsidRDefault="003E3263" w:rsidP="00C169F9">
            <w:pPr>
              <w:pStyle w:val="ListParagraph"/>
              <w:numPr>
                <w:ilvl w:val="0"/>
                <w:numId w:val="38"/>
              </w:numPr>
              <w:rPr>
                <w:rFonts w:ascii="Arial Narrow" w:hAnsi="Arial Narrow" w:cs="Arial"/>
                <w:b/>
                <w:color w:val="808080" w:themeColor="background1" w:themeShade="80"/>
              </w:rPr>
            </w:pPr>
            <w:r w:rsidRPr="003E3263">
              <w:rPr>
                <w:rFonts w:ascii="Arial Narrow" w:hAnsi="Arial Narrow" w:cs="Arial"/>
                <w:color w:val="808080" w:themeColor="background1" w:themeShade="80"/>
              </w:rPr>
              <w:t>Number of 136</w:t>
            </w:r>
            <w:r w:rsidR="00C169F9">
              <w:rPr>
                <w:rFonts w:ascii="Arial Narrow" w:hAnsi="Arial Narrow" w:cs="Arial"/>
                <w:color w:val="808080" w:themeColor="background1" w:themeShade="80"/>
              </w:rPr>
              <w:t xml:space="preserve"> episodes</w:t>
            </w:r>
            <w:r w:rsidRPr="003E3263">
              <w:rPr>
                <w:rFonts w:ascii="Arial Narrow" w:hAnsi="Arial Narrow" w:cs="Arial"/>
                <w:color w:val="808080" w:themeColor="background1" w:themeShade="80"/>
              </w:rPr>
              <w:t xml:space="preserve"> for children and</w:t>
            </w:r>
            <w:r>
              <w:rPr>
                <w:rFonts w:ascii="Arial Narrow" w:hAnsi="Arial Narrow" w:cs="Arial"/>
                <w:color w:val="808080" w:themeColor="background1" w:themeShade="80"/>
              </w:rPr>
              <w:t xml:space="preserve"> young people and location of conveyance</w:t>
            </w:r>
            <w:r w:rsidR="00C169F9">
              <w:rPr>
                <w:rFonts w:ascii="Arial Narrow" w:hAnsi="Arial Narrow" w:cs="Arial"/>
                <w:color w:val="808080" w:themeColor="background1" w:themeShade="80"/>
              </w:rPr>
              <w:t xml:space="preserve"> (reduce A&amp;E and remove police based location)</w:t>
            </w:r>
          </w:p>
        </w:tc>
        <w:tc>
          <w:tcPr>
            <w:tcW w:w="2596" w:type="dxa"/>
            <w:tcMar>
              <w:top w:w="108" w:type="dxa"/>
              <w:bottom w:w="170" w:type="dxa"/>
            </w:tcMar>
          </w:tcPr>
          <w:p w:rsidR="003E3263" w:rsidRPr="005F4A41" w:rsidRDefault="00BE2B15" w:rsidP="00BE2B15">
            <w:pPr>
              <w:jc w:val="center"/>
              <w:rPr>
                <w:rFonts w:ascii="Arial Narrow" w:hAnsi="Arial Narrow" w:cs="Arial"/>
                <w:b/>
                <w:color w:val="808080" w:themeColor="background1" w:themeShade="80"/>
              </w:rPr>
            </w:pPr>
            <w:r>
              <w:rPr>
                <w:rFonts w:ascii="Arial Narrow" w:hAnsi="Arial Narrow" w:cs="Arial"/>
                <w:b/>
                <w:color w:val="808080" w:themeColor="background1" w:themeShade="80"/>
              </w:rPr>
              <w:t xml:space="preserve">Nene &amp; Corby CCGs </w:t>
            </w:r>
          </w:p>
        </w:tc>
        <w:tc>
          <w:tcPr>
            <w:tcW w:w="2552" w:type="dxa"/>
            <w:shd w:val="clear" w:color="auto" w:fill="FFFFFF" w:themeFill="background1"/>
          </w:tcPr>
          <w:p w:rsidR="003E3263" w:rsidRPr="005F4A41" w:rsidRDefault="00536D4B" w:rsidP="00536D4B">
            <w:pPr>
              <w:jc w:val="center"/>
              <w:rPr>
                <w:rFonts w:ascii="Arial Narrow" w:hAnsi="Arial Narrow" w:cs="Arial"/>
                <w:b/>
                <w:color w:val="000000" w:themeColor="text1"/>
              </w:rPr>
            </w:pPr>
            <w:r>
              <w:rPr>
                <w:rFonts w:ascii="Arial Narrow" w:hAnsi="Arial Narrow" w:cs="Arial"/>
                <w:b/>
                <w:color w:val="000000" w:themeColor="text1"/>
              </w:rPr>
              <w:t>October 2017</w:t>
            </w:r>
          </w:p>
        </w:tc>
        <w:tc>
          <w:tcPr>
            <w:tcW w:w="1409" w:type="dxa"/>
            <w:shd w:val="clear" w:color="auto" w:fill="FFFFFF" w:themeFill="background1"/>
          </w:tcPr>
          <w:p w:rsidR="003E3263" w:rsidRPr="005F4A41" w:rsidRDefault="003E3263" w:rsidP="00EE5355">
            <w:pPr>
              <w:jc w:val="both"/>
              <w:rPr>
                <w:rFonts w:ascii="Arial Narrow" w:hAnsi="Arial Narrow" w:cs="Arial"/>
                <w:b/>
                <w:color w:val="000000" w:themeColor="text1"/>
              </w:rPr>
            </w:pPr>
          </w:p>
        </w:tc>
      </w:tr>
      <w:tr w:rsidR="003E3263" w:rsidRPr="005F4A41" w:rsidTr="00536D4B">
        <w:trPr>
          <w:cantSplit/>
        </w:trPr>
        <w:tc>
          <w:tcPr>
            <w:tcW w:w="694" w:type="dxa"/>
            <w:tcMar>
              <w:top w:w="108" w:type="dxa"/>
              <w:bottom w:w="170" w:type="dxa"/>
            </w:tcMar>
          </w:tcPr>
          <w:p w:rsidR="003E3263" w:rsidRPr="005F4A41" w:rsidRDefault="003E3263" w:rsidP="00EE5355">
            <w:pPr>
              <w:jc w:val="both"/>
              <w:rPr>
                <w:rFonts w:ascii="Arial Narrow" w:hAnsi="Arial Narrow" w:cs="Arial"/>
                <w:b/>
                <w:color w:val="808080" w:themeColor="background1" w:themeShade="80"/>
              </w:rPr>
            </w:pPr>
            <w:r>
              <w:rPr>
                <w:rFonts w:ascii="Arial Narrow" w:hAnsi="Arial Narrow" w:cs="Arial"/>
                <w:b/>
                <w:color w:val="808080" w:themeColor="background1" w:themeShade="80"/>
              </w:rPr>
              <w:t>2.</w:t>
            </w:r>
          </w:p>
        </w:tc>
        <w:tc>
          <w:tcPr>
            <w:tcW w:w="1682" w:type="dxa"/>
            <w:tcMar>
              <w:top w:w="108" w:type="dxa"/>
              <w:bottom w:w="170" w:type="dxa"/>
            </w:tcMar>
          </w:tcPr>
          <w:p w:rsidR="003E3263" w:rsidRPr="00536D4B" w:rsidRDefault="003E3263" w:rsidP="00EE5355">
            <w:pPr>
              <w:autoSpaceDE w:val="0"/>
              <w:autoSpaceDN w:val="0"/>
              <w:adjustRightInd w:val="0"/>
              <w:rPr>
                <w:rFonts w:ascii="Arial Narrow" w:hAnsi="Arial Narrow" w:cs="Arial"/>
                <w:b/>
                <w:color w:val="000000" w:themeColor="text1"/>
              </w:rPr>
            </w:pPr>
            <w:r w:rsidRPr="00536D4B">
              <w:rPr>
                <w:rFonts w:ascii="Arial Narrow" w:hAnsi="Arial Narrow" w:cs="Arial"/>
                <w:b/>
                <w:color w:val="000000" w:themeColor="text1"/>
              </w:rPr>
              <w:t>Children and Young People in Crisis</w:t>
            </w:r>
          </w:p>
        </w:tc>
        <w:tc>
          <w:tcPr>
            <w:tcW w:w="3421" w:type="dxa"/>
            <w:gridSpan w:val="2"/>
          </w:tcPr>
          <w:p w:rsidR="003E3263" w:rsidRPr="003E3263" w:rsidRDefault="00625144" w:rsidP="003E3263">
            <w:pPr>
              <w:spacing w:after="200" w:line="276" w:lineRule="auto"/>
              <w:rPr>
                <w:rFonts w:ascii="Arial Narrow" w:hAnsi="Arial Narrow" w:cs="Arial"/>
                <w:color w:val="808080" w:themeColor="background1" w:themeShade="80"/>
              </w:rPr>
            </w:pPr>
            <w:r>
              <w:rPr>
                <w:rFonts w:ascii="Arial Narrow" w:hAnsi="Arial Narrow" w:cs="Arial"/>
                <w:color w:val="808080" w:themeColor="background1" w:themeShade="80"/>
              </w:rPr>
              <w:t xml:space="preserve">Implement 24/7 crisis response </w:t>
            </w:r>
            <w:r w:rsidR="00536D4B">
              <w:rPr>
                <w:rFonts w:ascii="Arial Narrow" w:hAnsi="Arial Narrow" w:cs="Arial"/>
                <w:color w:val="808080" w:themeColor="background1" w:themeShade="80"/>
              </w:rPr>
              <w:t>for children and young people equal to that available for adults</w:t>
            </w:r>
          </w:p>
        </w:tc>
        <w:tc>
          <w:tcPr>
            <w:tcW w:w="2488" w:type="dxa"/>
            <w:vMerge/>
            <w:tcMar>
              <w:top w:w="108" w:type="dxa"/>
              <w:bottom w:w="170" w:type="dxa"/>
            </w:tcMar>
          </w:tcPr>
          <w:p w:rsidR="003E3263" w:rsidRPr="005F4A41" w:rsidRDefault="003E3263" w:rsidP="00EE5355">
            <w:pPr>
              <w:jc w:val="center"/>
              <w:rPr>
                <w:rFonts w:ascii="Arial Narrow" w:hAnsi="Arial Narrow" w:cs="Arial"/>
                <w:b/>
                <w:color w:val="808080" w:themeColor="background1" w:themeShade="80"/>
              </w:rPr>
            </w:pPr>
          </w:p>
        </w:tc>
        <w:tc>
          <w:tcPr>
            <w:tcW w:w="2596" w:type="dxa"/>
            <w:tcMar>
              <w:top w:w="108" w:type="dxa"/>
              <w:bottom w:w="170" w:type="dxa"/>
            </w:tcMar>
          </w:tcPr>
          <w:p w:rsidR="003E3263" w:rsidRPr="005F4A41" w:rsidRDefault="00BE2B15" w:rsidP="00BE2B15">
            <w:pPr>
              <w:jc w:val="center"/>
              <w:rPr>
                <w:rFonts w:ascii="Arial Narrow" w:hAnsi="Arial Narrow" w:cs="Arial"/>
                <w:b/>
                <w:color w:val="808080" w:themeColor="background1" w:themeShade="80"/>
              </w:rPr>
            </w:pPr>
            <w:r>
              <w:rPr>
                <w:rFonts w:ascii="Arial Narrow" w:hAnsi="Arial Narrow" w:cs="Arial"/>
                <w:b/>
                <w:color w:val="808080" w:themeColor="background1" w:themeShade="80"/>
              </w:rPr>
              <w:t xml:space="preserve">Nene &amp; Corby CCGs </w:t>
            </w:r>
          </w:p>
        </w:tc>
        <w:tc>
          <w:tcPr>
            <w:tcW w:w="2552" w:type="dxa"/>
            <w:shd w:val="clear" w:color="auto" w:fill="FFFFFF" w:themeFill="background1"/>
          </w:tcPr>
          <w:p w:rsidR="003E3263" w:rsidRPr="005F4A41" w:rsidRDefault="00536D4B" w:rsidP="00536D4B">
            <w:pPr>
              <w:jc w:val="center"/>
              <w:rPr>
                <w:rFonts w:ascii="Arial Narrow" w:hAnsi="Arial Narrow" w:cs="Arial"/>
                <w:b/>
                <w:color w:val="000000" w:themeColor="text1"/>
              </w:rPr>
            </w:pPr>
            <w:r>
              <w:rPr>
                <w:rFonts w:ascii="Arial Narrow" w:hAnsi="Arial Narrow" w:cs="Arial"/>
                <w:b/>
                <w:color w:val="000000" w:themeColor="text1"/>
              </w:rPr>
              <w:t>October 2017</w:t>
            </w:r>
          </w:p>
        </w:tc>
        <w:tc>
          <w:tcPr>
            <w:tcW w:w="1409" w:type="dxa"/>
            <w:shd w:val="clear" w:color="auto" w:fill="FFFFFF" w:themeFill="background1"/>
          </w:tcPr>
          <w:p w:rsidR="003E3263" w:rsidRPr="005F4A41" w:rsidRDefault="003E3263" w:rsidP="00EE5355">
            <w:pPr>
              <w:jc w:val="both"/>
              <w:rPr>
                <w:rFonts w:ascii="Arial Narrow" w:hAnsi="Arial Narrow" w:cs="Arial"/>
                <w:b/>
                <w:color w:val="000000" w:themeColor="text1"/>
              </w:rPr>
            </w:pPr>
          </w:p>
        </w:tc>
      </w:tr>
      <w:tr w:rsidR="00AD185E" w:rsidRPr="005F4A41" w:rsidTr="00536D4B">
        <w:trPr>
          <w:cantSplit/>
        </w:trPr>
        <w:tc>
          <w:tcPr>
            <w:tcW w:w="694" w:type="dxa"/>
            <w:tcMar>
              <w:top w:w="108" w:type="dxa"/>
              <w:bottom w:w="170" w:type="dxa"/>
            </w:tcMar>
          </w:tcPr>
          <w:p w:rsidR="00AD185E" w:rsidRPr="005F4A41" w:rsidRDefault="00AD185E" w:rsidP="00EE5355">
            <w:pPr>
              <w:rPr>
                <w:rFonts w:ascii="Arial Narrow" w:hAnsi="Arial Narrow" w:cs="Arial"/>
                <w:b/>
                <w:color w:val="808080" w:themeColor="background1" w:themeShade="80"/>
              </w:rPr>
            </w:pPr>
            <w:r>
              <w:rPr>
                <w:rFonts w:ascii="Arial Narrow" w:hAnsi="Arial Narrow" w:cs="Arial"/>
                <w:b/>
                <w:color w:val="808080" w:themeColor="background1" w:themeShade="80"/>
              </w:rPr>
              <w:t>3.</w:t>
            </w:r>
          </w:p>
        </w:tc>
        <w:tc>
          <w:tcPr>
            <w:tcW w:w="1682" w:type="dxa"/>
            <w:tcMar>
              <w:top w:w="108" w:type="dxa"/>
              <w:bottom w:w="170" w:type="dxa"/>
            </w:tcMar>
          </w:tcPr>
          <w:p w:rsidR="00AD185E" w:rsidRPr="00536D4B" w:rsidRDefault="00BE2B15" w:rsidP="00EE5355">
            <w:pPr>
              <w:rPr>
                <w:rFonts w:ascii="Arial Narrow" w:hAnsi="Arial Narrow" w:cs="Arial"/>
                <w:b/>
                <w:color w:val="000000" w:themeColor="text1"/>
              </w:rPr>
            </w:pPr>
            <w:r>
              <w:rPr>
                <w:rFonts w:ascii="Arial Narrow" w:hAnsi="Arial Narrow" w:cs="Arial"/>
                <w:b/>
                <w:color w:val="000000" w:themeColor="text1"/>
              </w:rPr>
              <w:t>Multi-Agency Response</w:t>
            </w:r>
          </w:p>
        </w:tc>
        <w:tc>
          <w:tcPr>
            <w:tcW w:w="3421" w:type="dxa"/>
            <w:gridSpan w:val="2"/>
          </w:tcPr>
          <w:p w:rsidR="00AD185E" w:rsidRPr="00AD185E" w:rsidRDefault="00AD185E" w:rsidP="00C169F9">
            <w:pPr>
              <w:spacing w:after="200" w:line="276" w:lineRule="auto"/>
              <w:rPr>
                <w:rFonts w:ascii="Arial Narrow" w:hAnsi="Arial Narrow" w:cs="Arial"/>
                <w:color w:val="000000" w:themeColor="text1"/>
              </w:rPr>
            </w:pPr>
            <w:r w:rsidRPr="00AD185E">
              <w:rPr>
                <w:rFonts w:ascii="Arial Narrow" w:hAnsi="Arial Narrow" w:cs="Arial"/>
                <w:color w:val="000000" w:themeColor="text1"/>
              </w:rPr>
              <w:t>Carry out a review of Street Triage function to look at performance of current model. Review will include looking at all agencies current response to mental health crisis.</w:t>
            </w:r>
          </w:p>
        </w:tc>
        <w:tc>
          <w:tcPr>
            <w:tcW w:w="2488" w:type="dxa"/>
            <w:vMerge w:val="restart"/>
            <w:tcMar>
              <w:top w:w="108" w:type="dxa"/>
              <w:bottom w:w="170" w:type="dxa"/>
            </w:tcMar>
          </w:tcPr>
          <w:p w:rsidR="00AD185E" w:rsidRPr="00AD185E" w:rsidRDefault="00AD185E" w:rsidP="00AD185E">
            <w:pPr>
              <w:pStyle w:val="ListParagraph"/>
              <w:ind w:left="360"/>
              <w:rPr>
                <w:rFonts w:ascii="Arial Narrow" w:hAnsi="Arial Narrow" w:cs="Arial"/>
                <w:color w:val="000000" w:themeColor="text1"/>
              </w:rPr>
            </w:pPr>
          </w:p>
          <w:p w:rsidR="00AD185E" w:rsidRPr="00AD185E" w:rsidRDefault="00AD185E" w:rsidP="00536D4B">
            <w:pPr>
              <w:pStyle w:val="ListParagraph"/>
              <w:numPr>
                <w:ilvl w:val="0"/>
                <w:numId w:val="39"/>
              </w:numPr>
              <w:rPr>
                <w:rFonts w:ascii="Arial Narrow" w:hAnsi="Arial Narrow" w:cs="Arial"/>
                <w:color w:val="000000" w:themeColor="text1"/>
              </w:rPr>
            </w:pPr>
            <w:r w:rsidRPr="00AD185E">
              <w:rPr>
                <w:rFonts w:ascii="Arial Narrow" w:hAnsi="Arial Narrow" w:cs="Arial"/>
                <w:color w:val="000000" w:themeColor="text1"/>
              </w:rPr>
              <w:t>Develop reporting on street triage function and outcomes</w:t>
            </w:r>
          </w:p>
          <w:p w:rsidR="00AD185E" w:rsidRPr="00AD185E" w:rsidRDefault="00AD185E" w:rsidP="00536D4B">
            <w:pPr>
              <w:pStyle w:val="ListParagraph"/>
              <w:numPr>
                <w:ilvl w:val="0"/>
                <w:numId w:val="39"/>
              </w:numPr>
              <w:rPr>
                <w:rFonts w:ascii="Arial Narrow" w:hAnsi="Arial Narrow" w:cs="Arial"/>
                <w:color w:val="000000" w:themeColor="text1"/>
              </w:rPr>
            </w:pPr>
            <w:r w:rsidRPr="00AD185E">
              <w:rPr>
                <w:rFonts w:ascii="Arial Narrow" w:hAnsi="Arial Narrow" w:cs="Arial"/>
                <w:color w:val="000000" w:themeColor="text1"/>
              </w:rPr>
              <w:t>Baseline measures for current performance to be determined.</w:t>
            </w:r>
          </w:p>
          <w:p w:rsidR="00AD185E" w:rsidRPr="00AD185E" w:rsidRDefault="00AD185E" w:rsidP="00536D4B">
            <w:pPr>
              <w:pStyle w:val="ListParagraph"/>
              <w:numPr>
                <w:ilvl w:val="0"/>
                <w:numId w:val="39"/>
              </w:numPr>
              <w:rPr>
                <w:rFonts w:ascii="Arial Narrow" w:hAnsi="Arial Narrow" w:cs="Arial"/>
                <w:color w:val="000000" w:themeColor="text1"/>
              </w:rPr>
            </w:pPr>
            <w:r w:rsidRPr="00AD185E">
              <w:rPr>
                <w:rFonts w:ascii="Arial Narrow" w:hAnsi="Arial Narrow" w:cs="Arial"/>
                <w:color w:val="000000" w:themeColor="text1"/>
              </w:rPr>
              <w:t>Appropriate improvement targets in KPIs and outcome measures to be set</w:t>
            </w:r>
          </w:p>
        </w:tc>
        <w:tc>
          <w:tcPr>
            <w:tcW w:w="2596" w:type="dxa"/>
            <w:tcMar>
              <w:top w:w="108" w:type="dxa"/>
              <w:bottom w:w="170" w:type="dxa"/>
            </w:tcMar>
          </w:tcPr>
          <w:p w:rsidR="00AD185E" w:rsidRPr="00BE2B15" w:rsidRDefault="00BE2B15" w:rsidP="00536D4B">
            <w:pPr>
              <w:jc w:val="center"/>
              <w:rPr>
                <w:rFonts w:ascii="Arial Narrow" w:hAnsi="Arial Narrow" w:cs="Arial"/>
                <w:b/>
                <w:color w:val="808080" w:themeColor="background1" w:themeShade="80"/>
              </w:rPr>
            </w:pPr>
            <w:r w:rsidRPr="00BE2B15">
              <w:rPr>
                <w:rFonts w:ascii="Arial Narrow" w:hAnsi="Arial Narrow" w:cs="Arial"/>
                <w:b/>
                <w:color w:val="808080" w:themeColor="background1" w:themeShade="80"/>
              </w:rPr>
              <w:t>NHFT and Police</w:t>
            </w:r>
          </w:p>
        </w:tc>
        <w:tc>
          <w:tcPr>
            <w:tcW w:w="2552" w:type="dxa"/>
            <w:shd w:val="clear" w:color="auto" w:fill="FFFFFF" w:themeFill="background1"/>
          </w:tcPr>
          <w:p w:rsidR="00AD185E" w:rsidRPr="005F4A41" w:rsidRDefault="00AD185E" w:rsidP="00536D4B">
            <w:pPr>
              <w:jc w:val="center"/>
              <w:rPr>
                <w:rFonts w:ascii="Arial Narrow" w:hAnsi="Arial Narrow" w:cs="Arial"/>
                <w:b/>
                <w:color w:val="92D050"/>
              </w:rPr>
            </w:pPr>
            <w:r w:rsidRPr="00536D4B">
              <w:rPr>
                <w:rFonts w:ascii="Arial Narrow" w:hAnsi="Arial Narrow" w:cs="Arial"/>
                <w:b/>
                <w:color w:val="000000" w:themeColor="text1"/>
              </w:rPr>
              <w:t>April 2017</w:t>
            </w:r>
          </w:p>
        </w:tc>
        <w:tc>
          <w:tcPr>
            <w:tcW w:w="1409" w:type="dxa"/>
            <w:shd w:val="clear" w:color="auto" w:fill="FFFFFF" w:themeFill="background1"/>
          </w:tcPr>
          <w:p w:rsidR="00AD185E" w:rsidRPr="005F4A41" w:rsidRDefault="00AD185E" w:rsidP="00EE5355">
            <w:pPr>
              <w:jc w:val="both"/>
              <w:rPr>
                <w:rFonts w:ascii="Arial Narrow" w:hAnsi="Arial Narrow" w:cs="Arial"/>
                <w:b/>
                <w:color w:val="92D050"/>
              </w:rPr>
            </w:pPr>
          </w:p>
        </w:tc>
      </w:tr>
      <w:tr w:rsidR="00AD185E" w:rsidRPr="005F4A41" w:rsidTr="00536D4B">
        <w:trPr>
          <w:cantSplit/>
        </w:trPr>
        <w:tc>
          <w:tcPr>
            <w:tcW w:w="694" w:type="dxa"/>
            <w:tcMar>
              <w:top w:w="108" w:type="dxa"/>
              <w:bottom w:w="170" w:type="dxa"/>
            </w:tcMar>
          </w:tcPr>
          <w:p w:rsidR="00AD185E" w:rsidRPr="003E3263" w:rsidRDefault="00AD185E" w:rsidP="00EE5355">
            <w:pPr>
              <w:rPr>
                <w:rFonts w:ascii="Arial Narrow" w:hAnsi="Arial Narrow" w:cs="Arial"/>
              </w:rPr>
            </w:pPr>
            <w:r w:rsidRPr="003E3263">
              <w:rPr>
                <w:rFonts w:ascii="Arial Narrow" w:hAnsi="Arial Narrow" w:cs="Arial"/>
              </w:rPr>
              <w:t>4.</w:t>
            </w:r>
          </w:p>
        </w:tc>
        <w:tc>
          <w:tcPr>
            <w:tcW w:w="1682" w:type="dxa"/>
            <w:tcMar>
              <w:top w:w="108" w:type="dxa"/>
              <w:bottom w:w="170" w:type="dxa"/>
            </w:tcMar>
          </w:tcPr>
          <w:p w:rsidR="00AD185E" w:rsidRPr="00536D4B" w:rsidRDefault="00BE2B15" w:rsidP="00EE5355">
            <w:pPr>
              <w:rPr>
                <w:rFonts w:ascii="Arial Narrow" w:hAnsi="Arial Narrow" w:cs="Arial"/>
                <w:b/>
                <w:color w:val="000000" w:themeColor="text1"/>
              </w:rPr>
            </w:pPr>
            <w:r>
              <w:rPr>
                <w:rFonts w:ascii="Arial Narrow" w:hAnsi="Arial Narrow" w:cs="Arial"/>
                <w:b/>
                <w:color w:val="000000" w:themeColor="text1"/>
              </w:rPr>
              <w:t>Multi-Agency Response</w:t>
            </w:r>
          </w:p>
        </w:tc>
        <w:tc>
          <w:tcPr>
            <w:tcW w:w="3421" w:type="dxa"/>
            <w:gridSpan w:val="2"/>
          </w:tcPr>
          <w:p w:rsidR="00AD185E" w:rsidRPr="00536D4B" w:rsidRDefault="00AD185E" w:rsidP="00C169F9">
            <w:pPr>
              <w:spacing w:after="200" w:line="276" w:lineRule="auto"/>
              <w:rPr>
                <w:rFonts w:ascii="Arial Narrow" w:hAnsi="Arial Narrow" w:cs="Arial"/>
              </w:rPr>
            </w:pPr>
            <w:r w:rsidRPr="00C169F9">
              <w:rPr>
                <w:rFonts w:ascii="Arial Narrow" w:hAnsi="Arial Narrow" w:cs="Arial"/>
                <w:color w:val="000000" w:themeColor="text1"/>
              </w:rPr>
              <w:t>Following review of Street Triage</w:t>
            </w:r>
            <w:r>
              <w:rPr>
                <w:rFonts w:ascii="Arial Narrow" w:hAnsi="Arial Narrow" w:cs="Arial"/>
                <w:color w:val="000000" w:themeColor="text1"/>
              </w:rPr>
              <w:t xml:space="preserve"> Function design and implement</w:t>
            </w:r>
            <w:r w:rsidRPr="00C169F9">
              <w:rPr>
                <w:rFonts w:ascii="Arial Narrow" w:hAnsi="Arial Narrow" w:cs="Arial"/>
                <w:color w:val="000000" w:themeColor="text1"/>
              </w:rPr>
              <w:t xml:space="preserve"> best option for future model and identify baseline measures to benchmark improvements against.  </w:t>
            </w:r>
          </w:p>
        </w:tc>
        <w:tc>
          <w:tcPr>
            <w:tcW w:w="2488" w:type="dxa"/>
            <w:vMerge/>
            <w:tcBorders>
              <w:bottom w:val="single" w:sz="4" w:space="0" w:color="auto"/>
            </w:tcBorders>
            <w:tcMar>
              <w:top w:w="108" w:type="dxa"/>
              <w:bottom w:w="170" w:type="dxa"/>
            </w:tcMar>
          </w:tcPr>
          <w:p w:rsidR="00AD185E" w:rsidRPr="005F4A41" w:rsidRDefault="00AD185E" w:rsidP="00EE5355">
            <w:pPr>
              <w:jc w:val="center"/>
              <w:rPr>
                <w:rFonts w:ascii="Arial Narrow" w:hAnsi="Arial Narrow" w:cs="Arial"/>
                <w:b/>
              </w:rPr>
            </w:pPr>
          </w:p>
        </w:tc>
        <w:tc>
          <w:tcPr>
            <w:tcW w:w="2596" w:type="dxa"/>
            <w:tcMar>
              <w:top w:w="108" w:type="dxa"/>
              <w:bottom w:w="170" w:type="dxa"/>
            </w:tcMar>
          </w:tcPr>
          <w:p w:rsidR="00AD185E" w:rsidRPr="005F4A41" w:rsidRDefault="00BE2B15" w:rsidP="00BE2B15">
            <w:pPr>
              <w:jc w:val="center"/>
              <w:rPr>
                <w:rFonts w:ascii="Arial Narrow" w:hAnsi="Arial Narrow" w:cs="Arial"/>
                <w:b/>
              </w:rPr>
            </w:pPr>
            <w:r>
              <w:rPr>
                <w:rFonts w:ascii="Arial Narrow" w:hAnsi="Arial Narrow" w:cs="Arial"/>
                <w:b/>
              </w:rPr>
              <w:t>NHFT and Police</w:t>
            </w:r>
          </w:p>
        </w:tc>
        <w:tc>
          <w:tcPr>
            <w:tcW w:w="2552" w:type="dxa"/>
            <w:shd w:val="clear" w:color="auto" w:fill="FFFFFF" w:themeFill="background1"/>
          </w:tcPr>
          <w:p w:rsidR="00AD185E" w:rsidRPr="005F4A41" w:rsidRDefault="00AD185E" w:rsidP="00AD185E">
            <w:pPr>
              <w:jc w:val="center"/>
              <w:rPr>
                <w:rFonts w:ascii="Arial Narrow" w:hAnsi="Arial Narrow" w:cs="Arial"/>
                <w:b/>
                <w:color w:val="000000" w:themeColor="text1"/>
              </w:rPr>
            </w:pPr>
            <w:r>
              <w:rPr>
                <w:rFonts w:ascii="Arial Narrow" w:hAnsi="Arial Narrow" w:cs="Arial"/>
                <w:b/>
                <w:color w:val="000000" w:themeColor="text1"/>
              </w:rPr>
              <w:t>October 2017</w:t>
            </w:r>
          </w:p>
        </w:tc>
        <w:tc>
          <w:tcPr>
            <w:tcW w:w="1409" w:type="dxa"/>
            <w:shd w:val="clear" w:color="auto" w:fill="FFFFFF" w:themeFill="background1"/>
          </w:tcPr>
          <w:p w:rsidR="00AD185E" w:rsidRPr="005F4A41" w:rsidRDefault="00AD185E" w:rsidP="00EE5355">
            <w:pPr>
              <w:jc w:val="both"/>
              <w:rPr>
                <w:rFonts w:ascii="Arial Narrow" w:hAnsi="Arial Narrow" w:cs="Arial"/>
                <w:b/>
                <w:color w:val="000000" w:themeColor="text1"/>
              </w:rPr>
            </w:pPr>
          </w:p>
        </w:tc>
      </w:tr>
      <w:tr w:rsidR="003E3263" w:rsidRPr="00270215" w:rsidTr="00536D4B">
        <w:trPr>
          <w:cantSplit/>
        </w:trPr>
        <w:tc>
          <w:tcPr>
            <w:tcW w:w="694" w:type="dxa"/>
            <w:tcMar>
              <w:top w:w="108" w:type="dxa"/>
              <w:bottom w:w="170" w:type="dxa"/>
            </w:tcMar>
          </w:tcPr>
          <w:p w:rsidR="003E3263" w:rsidRPr="002F586D" w:rsidRDefault="003E3263" w:rsidP="00EE5355">
            <w:pPr>
              <w:pStyle w:val="NoSpacing"/>
              <w:rPr>
                <w:rFonts w:ascii="Arial Narrow" w:hAnsi="Arial Narrow" w:cs="Arial"/>
              </w:rPr>
            </w:pPr>
            <w:r>
              <w:rPr>
                <w:rFonts w:ascii="Arial Narrow" w:hAnsi="Arial Narrow" w:cs="Arial"/>
              </w:rPr>
              <w:t>5.</w:t>
            </w:r>
          </w:p>
        </w:tc>
        <w:tc>
          <w:tcPr>
            <w:tcW w:w="1682" w:type="dxa"/>
            <w:tcMar>
              <w:top w:w="108" w:type="dxa"/>
              <w:bottom w:w="170" w:type="dxa"/>
            </w:tcMar>
          </w:tcPr>
          <w:p w:rsidR="003E3263" w:rsidRPr="00C169F9" w:rsidRDefault="00C169F9" w:rsidP="00EE5355">
            <w:pPr>
              <w:pStyle w:val="NoSpacing"/>
              <w:rPr>
                <w:rFonts w:ascii="Arial Narrow" w:hAnsi="Arial Narrow" w:cs="Arial"/>
                <w:b/>
              </w:rPr>
            </w:pPr>
            <w:r>
              <w:rPr>
                <w:rFonts w:ascii="Arial Narrow" w:hAnsi="Arial Narrow" w:cs="Arial"/>
                <w:b/>
              </w:rPr>
              <w:t>Information</w:t>
            </w:r>
          </w:p>
        </w:tc>
        <w:tc>
          <w:tcPr>
            <w:tcW w:w="3421" w:type="dxa"/>
            <w:gridSpan w:val="2"/>
          </w:tcPr>
          <w:p w:rsidR="00AD185E" w:rsidRPr="002F586D" w:rsidRDefault="00AD185E" w:rsidP="00AD185E">
            <w:pPr>
              <w:pStyle w:val="NoSpacing"/>
              <w:rPr>
                <w:rFonts w:ascii="Arial Narrow" w:hAnsi="Arial Narrow" w:cs="Arial"/>
              </w:rPr>
            </w:pPr>
            <w:r>
              <w:rPr>
                <w:rFonts w:ascii="Arial Narrow" w:hAnsi="Arial Narrow" w:cs="Arial"/>
              </w:rPr>
              <w:t>Develop information for service users, carers and professionals about support available in a crisis, utilising AskNormen as a single, well publicised resource.</w:t>
            </w:r>
          </w:p>
        </w:tc>
        <w:tc>
          <w:tcPr>
            <w:tcW w:w="2488" w:type="dxa"/>
            <w:shd w:val="clear" w:color="auto" w:fill="auto"/>
            <w:tcMar>
              <w:top w:w="108" w:type="dxa"/>
              <w:bottom w:w="170" w:type="dxa"/>
            </w:tcMar>
          </w:tcPr>
          <w:p w:rsidR="003E3263" w:rsidRDefault="00AD185E" w:rsidP="00AD185E">
            <w:pPr>
              <w:pStyle w:val="NoSpacing"/>
              <w:numPr>
                <w:ilvl w:val="0"/>
                <w:numId w:val="40"/>
              </w:numPr>
              <w:rPr>
                <w:rFonts w:ascii="Arial Narrow" w:hAnsi="Arial Narrow" w:cs="Arial"/>
              </w:rPr>
            </w:pPr>
            <w:r>
              <w:rPr>
                <w:rFonts w:ascii="Arial Narrow" w:hAnsi="Arial Narrow" w:cs="Arial"/>
              </w:rPr>
              <w:t>Current information available on AskNormen</w:t>
            </w:r>
          </w:p>
          <w:p w:rsidR="00AD185E" w:rsidRDefault="00AD185E" w:rsidP="00AD185E">
            <w:pPr>
              <w:pStyle w:val="NoSpacing"/>
              <w:numPr>
                <w:ilvl w:val="0"/>
                <w:numId w:val="40"/>
              </w:numPr>
              <w:rPr>
                <w:rFonts w:ascii="Arial Narrow" w:hAnsi="Arial Narrow" w:cs="Arial"/>
              </w:rPr>
            </w:pPr>
            <w:r>
              <w:rPr>
                <w:rFonts w:ascii="Arial Narrow" w:hAnsi="Arial Narrow" w:cs="Arial"/>
              </w:rPr>
              <w:t>Survey around knowledge of AskNormen</w:t>
            </w:r>
          </w:p>
          <w:p w:rsidR="00AD185E" w:rsidRDefault="00AD185E" w:rsidP="00AD185E">
            <w:pPr>
              <w:pStyle w:val="NoSpacing"/>
              <w:numPr>
                <w:ilvl w:val="0"/>
                <w:numId w:val="40"/>
              </w:numPr>
              <w:rPr>
                <w:rFonts w:ascii="Arial Narrow" w:hAnsi="Arial Narrow" w:cs="Arial"/>
              </w:rPr>
            </w:pPr>
            <w:r>
              <w:rPr>
                <w:rFonts w:ascii="Arial Narrow" w:hAnsi="Arial Narrow" w:cs="Arial"/>
              </w:rPr>
              <w:t>Number of hits on relevant pages</w:t>
            </w:r>
          </w:p>
          <w:p w:rsidR="00AD185E" w:rsidRDefault="00AD185E" w:rsidP="00AD185E">
            <w:pPr>
              <w:pStyle w:val="NoSpacing"/>
              <w:numPr>
                <w:ilvl w:val="0"/>
                <w:numId w:val="40"/>
              </w:numPr>
              <w:rPr>
                <w:rFonts w:ascii="Arial Narrow" w:hAnsi="Arial Narrow" w:cs="Arial"/>
              </w:rPr>
            </w:pPr>
            <w:r>
              <w:rPr>
                <w:rFonts w:ascii="Arial Narrow" w:hAnsi="Arial Narrow" w:cs="Arial"/>
              </w:rPr>
              <w:t>Pages accessed and time spent on pages</w:t>
            </w:r>
          </w:p>
          <w:p w:rsidR="00AD185E" w:rsidRDefault="00AD185E" w:rsidP="00AD185E">
            <w:pPr>
              <w:pStyle w:val="NoSpacing"/>
              <w:numPr>
                <w:ilvl w:val="0"/>
                <w:numId w:val="40"/>
              </w:numPr>
              <w:rPr>
                <w:rFonts w:ascii="Arial Narrow" w:hAnsi="Arial Narrow" w:cs="Arial"/>
              </w:rPr>
            </w:pPr>
            <w:r>
              <w:rPr>
                <w:rFonts w:ascii="Arial Narrow" w:hAnsi="Arial Narrow" w:cs="Arial"/>
              </w:rPr>
              <w:t xml:space="preserve">Questions from public and professionals </w:t>
            </w:r>
          </w:p>
          <w:p w:rsidR="00AD185E" w:rsidRPr="002F586D" w:rsidRDefault="00AD185E" w:rsidP="00AD185E">
            <w:pPr>
              <w:pStyle w:val="NoSpacing"/>
              <w:ind w:left="360"/>
              <w:rPr>
                <w:rFonts w:ascii="Arial Narrow" w:hAnsi="Arial Narrow" w:cs="Arial"/>
              </w:rPr>
            </w:pPr>
          </w:p>
        </w:tc>
        <w:tc>
          <w:tcPr>
            <w:tcW w:w="2596" w:type="dxa"/>
            <w:tcMar>
              <w:top w:w="108" w:type="dxa"/>
              <w:bottom w:w="170" w:type="dxa"/>
            </w:tcMar>
          </w:tcPr>
          <w:p w:rsidR="003E3263" w:rsidRPr="002F586D" w:rsidRDefault="00BE2B15" w:rsidP="00BE2B15">
            <w:pPr>
              <w:jc w:val="center"/>
              <w:rPr>
                <w:rFonts w:ascii="Arial Narrow" w:hAnsi="Arial Narrow" w:cs="Arial"/>
                <w:b/>
              </w:rPr>
            </w:pPr>
            <w:r>
              <w:rPr>
                <w:rFonts w:ascii="Arial Narrow" w:hAnsi="Arial Narrow" w:cs="Arial"/>
                <w:b/>
              </w:rPr>
              <w:t>Nene &amp; Corby CCGs</w:t>
            </w:r>
          </w:p>
        </w:tc>
        <w:tc>
          <w:tcPr>
            <w:tcW w:w="2552" w:type="dxa"/>
            <w:shd w:val="clear" w:color="auto" w:fill="FFFFFF" w:themeFill="background1"/>
          </w:tcPr>
          <w:p w:rsidR="003E3263" w:rsidRPr="00D07B66" w:rsidRDefault="00D07B66" w:rsidP="00D07B66">
            <w:pPr>
              <w:jc w:val="center"/>
              <w:rPr>
                <w:rFonts w:ascii="Arial Narrow" w:hAnsi="Arial Narrow" w:cs="Arial"/>
                <w:b/>
                <w:color w:val="000000" w:themeColor="text1"/>
              </w:rPr>
            </w:pPr>
            <w:r>
              <w:rPr>
                <w:rFonts w:ascii="Arial Narrow" w:hAnsi="Arial Narrow" w:cs="Arial"/>
                <w:b/>
                <w:color w:val="000000" w:themeColor="text1"/>
              </w:rPr>
              <w:t>April 2017</w:t>
            </w:r>
          </w:p>
        </w:tc>
        <w:tc>
          <w:tcPr>
            <w:tcW w:w="1409" w:type="dxa"/>
            <w:shd w:val="clear" w:color="auto" w:fill="FFFFFF" w:themeFill="background1"/>
          </w:tcPr>
          <w:p w:rsidR="003E3263" w:rsidRDefault="003E3263" w:rsidP="00EE5355">
            <w:pPr>
              <w:jc w:val="both"/>
              <w:rPr>
                <w:rFonts w:ascii="Arial Narrow" w:hAnsi="Arial Narrow" w:cs="Arial"/>
                <w:color w:val="000000" w:themeColor="text1"/>
              </w:rPr>
            </w:pPr>
          </w:p>
        </w:tc>
      </w:tr>
      <w:tr w:rsidR="003E3263" w:rsidRPr="00270215" w:rsidTr="00536D4B">
        <w:trPr>
          <w:cantSplit/>
        </w:trPr>
        <w:tc>
          <w:tcPr>
            <w:tcW w:w="694" w:type="dxa"/>
            <w:tcMar>
              <w:top w:w="108" w:type="dxa"/>
              <w:bottom w:w="170" w:type="dxa"/>
            </w:tcMar>
          </w:tcPr>
          <w:p w:rsidR="003E3263" w:rsidRDefault="003E3263" w:rsidP="00EE5355">
            <w:pPr>
              <w:pStyle w:val="NoSpacing"/>
              <w:rPr>
                <w:rFonts w:ascii="Arial Narrow" w:hAnsi="Arial Narrow" w:cs="Arial"/>
              </w:rPr>
            </w:pPr>
            <w:r>
              <w:rPr>
                <w:rFonts w:ascii="Arial Narrow" w:hAnsi="Arial Narrow" w:cs="Arial"/>
              </w:rPr>
              <w:t>6.</w:t>
            </w:r>
          </w:p>
        </w:tc>
        <w:tc>
          <w:tcPr>
            <w:tcW w:w="1682" w:type="dxa"/>
            <w:tcMar>
              <w:top w:w="108" w:type="dxa"/>
              <w:bottom w:w="170" w:type="dxa"/>
            </w:tcMar>
          </w:tcPr>
          <w:p w:rsidR="003E3263" w:rsidRPr="00C169F9" w:rsidRDefault="00C169F9" w:rsidP="00EE5355">
            <w:pPr>
              <w:pStyle w:val="NoSpacing"/>
              <w:rPr>
                <w:rFonts w:ascii="Arial Narrow" w:hAnsi="Arial Narrow" w:cs="Arial"/>
                <w:b/>
              </w:rPr>
            </w:pPr>
            <w:r>
              <w:rPr>
                <w:rFonts w:ascii="Arial Narrow" w:hAnsi="Arial Narrow" w:cs="Arial"/>
                <w:b/>
              </w:rPr>
              <w:t>Information</w:t>
            </w:r>
          </w:p>
        </w:tc>
        <w:tc>
          <w:tcPr>
            <w:tcW w:w="3421" w:type="dxa"/>
            <w:gridSpan w:val="2"/>
          </w:tcPr>
          <w:p w:rsidR="003E3263" w:rsidRPr="002F586D" w:rsidRDefault="00AD185E" w:rsidP="00AD185E">
            <w:pPr>
              <w:pStyle w:val="NoSpacing"/>
              <w:rPr>
                <w:rFonts w:ascii="Arial Narrow" w:hAnsi="Arial Narrow" w:cs="Arial"/>
              </w:rPr>
            </w:pPr>
            <w:r>
              <w:rPr>
                <w:rFonts w:ascii="Arial Narrow" w:hAnsi="Arial Narrow" w:cs="Arial"/>
              </w:rPr>
              <w:t>Ensure effective assessment algorithms and Directory of Services within 111 to direct people to the most appropriate support based on their needs</w:t>
            </w:r>
          </w:p>
        </w:tc>
        <w:tc>
          <w:tcPr>
            <w:tcW w:w="2488" w:type="dxa"/>
            <w:shd w:val="clear" w:color="auto" w:fill="auto"/>
            <w:tcMar>
              <w:top w:w="108" w:type="dxa"/>
              <w:bottom w:w="170" w:type="dxa"/>
            </w:tcMar>
          </w:tcPr>
          <w:p w:rsidR="003E3263" w:rsidRDefault="00AD185E" w:rsidP="00AD185E">
            <w:pPr>
              <w:pStyle w:val="NoSpacing"/>
              <w:numPr>
                <w:ilvl w:val="0"/>
                <w:numId w:val="41"/>
              </w:numPr>
              <w:rPr>
                <w:rFonts w:ascii="Arial Narrow" w:hAnsi="Arial Narrow" w:cs="Arial"/>
              </w:rPr>
            </w:pPr>
            <w:r>
              <w:rPr>
                <w:rFonts w:ascii="Arial Narrow" w:hAnsi="Arial Narrow" w:cs="Arial"/>
              </w:rPr>
              <w:t xml:space="preserve">Number of people contacting 111 experiencing mental health crisis </w:t>
            </w:r>
          </w:p>
          <w:p w:rsidR="00AD185E" w:rsidRPr="002F586D" w:rsidRDefault="00AD185E" w:rsidP="00AD185E">
            <w:pPr>
              <w:pStyle w:val="NoSpacing"/>
              <w:numPr>
                <w:ilvl w:val="0"/>
                <w:numId w:val="41"/>
              </w:numPr>
              <w:rPr>
                <w:rFonts w:ascii="Arial Narrow" w:hAnsi="Arial Narrow" w:cs="Arial"/>
              </w:rPr>
            </w:pPr>
            <w:r>
              <w:rPr>
                <w:rFonts w:ascii="Arial Narrow" w:hAnsi="Arial Narrow" w:cs="Arial"/>
              </w:rPr>
              <w:t>Method of disposal from 111 for people contacting them experiencing mental health crisis</w:t>
            </w:r>
          </w:p>
        </w:tc>
        <w:tc>
          <w:tcPr>
            <w:tcW w:w="2596" w:type="dxa"/>
            <w:tcMar>
              <w:top w:w="108" w:type="dxa"/>
              <w:bottom w:w="170" w:type="dxa"/>
            </w:tcMar>
          </w:tcPr>
          <w:p w:rsidR="003E3263" w:rsidRPr="002F586D" w:rsidRDefault="00BE2B15" w:rsidP="00BE2B15">
            <w:pPr>
              <w:jc w:val="center"/>
              <w:rPr>
                <w:rFonts w:ascii="Arial Narrow" w:hAnsi="Arial Narrow" w:cs="Arial"/>
                <w:b/>
              </w:rPr>
            </w:pPr>
            <w:r>
              <w:rPr>
                <w:rFonts w:ascii="Arial Narrow" w:hAnsi="Arial Narrow" w:cs="Arial"/>
                <w:b/>
              </w:rPr>
              <w:t>NHFT</w:t>
            </w:r>
          </w:p>
        </w:tc>
        <w:tc>
          <w:tcPr>
            <w:tcW w:w="2552" w:type="dxa"/>
            <w:shd w:val="clear" w:color="auto" w:fill="FFFFFF" w:themeFill="background1"/>
          </w:tcPr>
          <w:p w:rsidR="003E3263" w:rsidRPr="00D07B66" w:rsidRDefault="00D07B66" w:rsidP="00D07B66">
            <w:pPr>
              <w:jc w:val="center"/>
              <w:rPr>
                <w:rFonts w:ascii="Arial Narrow" w:hAnsi="Arial Narrow" w:cs="Arial"/>
                <w:b/>
                <w:color w:val="000000" w:themeColor="text1"/>
              </w:rPr>
            </w:pPr>
            <w:r w:rsidRPr="00D07B66">
              <w:rPr>
                <w:rFonts w:ascii="Arial Narrow" w:hAnsi="Arial Narrow" w:cs="Arial"/>
                <w:b/>
                <w:color w:val="000000" w:themeColor="text1"/>
              </w:rPr>
              <w:t>April 2017</w:t>
            </w:r>
            <w:r>
              <w:rPr>
                <w:rFonts w:ascii="Arial Narrow" w:hAnsi="Arial Narrow" w:cs="Arial"/>
                <w:b/>
                <w:color w:val="000000" w:themeColor="text1"/>
              </w:rPr>
              <w:t xml:space="preserve"> &amp; Ongoing</w:t>
            </w:r>
          </w:p>
        </w:tc>
        <w:tc>
          <w:tcPr>
            <w:tcW w:w="1409" w:type="dxa"/>
            <w:shd w:val="clear" w:color="auto" w:fill="FFFFFF" w:themeFill="background1"/>
          </w:tcPr>
          <w:p w:rsidR="003E3263" w:rsidRDefault="003E3263" w:rsidP="00EE5355">
            <w:pPr>
              <w:jc w:val="both"/>
              <w:rPr>
                <w:rFonts w:ascii="Arial Narrow" w:hAnsi="Arial Narrow" w:cs="Arial"/>
                <w:color w:val="000000" w:themeColor="text1"/>
              </w:rPr>
            </w:pPr>
          </w:p>
        </w:tc>
      </w:tr>
      <w:tr w:rsidR="003E3263" w:rsidRPr="00270215" w:rsidTr="00536D4B">
        <w:trPr>
          <w:cantSplit/>
        </w:trPr>
        <w:tc>
          <w:tcPr>
            <w:tcW w:w="694" w:type="dxa"/>
            <w:tcMar>
              <w:top w:w="108" w:type="dxa"/>
              <w:bottom w:w="170" w:type="dxa"/>
            </w:tcMar>
          </w:tcPr>
          <w:p w:rsidR="003E3263" w:rsidRDefault="003E3263" w:rsidP="00EE5355">
            <w:pPr>
              <w:pStyle w:val="NoSpacing"/>
              <w:rPr>
                <w:rFonts w:ascii="Arial Narrow" w:hAnsi="Arial Narrow" w:cs="Arial"/>
              </w:rPr>
            </w:pPr>
            <w:r>
              <w:rPr>
                <w:rFonts w:ascii="Arial Narrow" w:hAnsi="Arial Narrow" w:cs="Arial"/>
              </w:rPr>
              <w:t>7.</w:t>
            </w:r>
          </w:p>
        </w:tc>
        <w:tc>
          <w:tcPr>
            <w:tcW w:w="1682" w:type="dxa"/>
            <w:tcMar>
              <w:top w:w="108" w:type="dxa"/>
              <w:bottom w:w="170" w:type="dxa"/>
            </w:tcMar>
          </w:tcPr>
          <w:p w:rsidR="003E3263" w:rsidRPr="00C169F9" w:rsidRDefault="00C169F9" w:rsidP="00EE5355">
            <w:pPr>
              <w:pStyle w:val="NoSpacing"/>
              <w:rPr>
                <w:rFonts w:ascii="Arial Narrow" w:hAnsi="Arial Narrow" w:cs="Arial"/>
                <w:b/>
              </w:rPr>
            </w:pPr>
            <w:r w:rsidRPr="00C169F9">
              <w:rPr>
                <w:rFonts w:ascii="Arial Narrow" w:hAnsi="Arial Narrow" w:cs="Arial"/>
                <w:b/>
              </w:rPr>
              <w:t>Complex Individuals</w:t>
            </w:r>
          </w:p>
        </w:tc>
        <w:tc>
          <w:tcPr>
            <w:tcW w:w="3421" w:type="dxa"/>
            <w:gridSpan w:val="2"/>
          </w:tcPr>
          <w:p w:rsidR="003E3263" w:rsidRPr="002F586D" w:rsidRDefault="00AD185E" w:rsidP="00AD185E">
            <w:pPr>
              <w:pStyle w:val="NoSpacing"/>
              <w:rPr>
                <w:rFonts w:ascii="Arial Narrow" w:hAnsi="Arial Narrow" w:cs="Arial"/>
              </w:rPr>
            </w:pPr>
            <w:r>
              <w:rPr>
                <w:rFonts w:ascii="Arial Narrow" w:hAnsi="Arial Narrow" w:cs="Arial"/>
              </w:rPr>
              <w:t>Review and update Information Sharing Agreements between partner organisations that will enable seamless support for complex individuals presenting in crisis</w:t>
            </w:r>
          </w:p>
        </w:tc>
        <w:tc>
          <w:tcPr>
            <w:tcW w:w="2488" w:type="dxa"/>
            <w:shd w:val="clear" w:color="auto" w:fill="auto"/>
            <w:tcMar>
              <w:top w:w="108" w:type="dxa"/>
              <w:bottom w:w="170" w:type="dxa"/>
            </w:tcMar>
          </w:tcPr>
          <w:p w:rsidR="003E3263" w:rsidRPr="002F586D" w:rsidRDefault="00AD185E" w:rsidP="00AD185E">
            <w:pPr>
              <w:pStyle w:val="NoSpacing"/>
              <w:numPr>
                <w:ilvl w:val="0"/>
                <w:numId w:val="42"/>
              </w:numPr>
              <w:rPr>
                <w:rFonts w:ascii="Arial Narrow" w:hAnsi="Arial Narrow" w:cs="Arial"/>
              </w:rPr>
            </w:pPr>
            <w:r>
              <w:rPr>
                <w:rFonts w:ascii="Arial Narrow" w:hAnsi="Arial Narrow" w:cs="Arial"/>
              </w:rPr>
              <w:t>Information sharing agreements are in place with all agencies signed up and committed to working together</w:t>
            </w:r>
          </w:p>
        </w:tc>
        <w:tc>
          <w:tcPr>
            <w:tcW w:w="2596" w:type="dxa"/>
            <w:tcMar>
              <w:top w:w="108" w:type="dxa"/>
              <w:bottom w:w="170" w:type="dxa"/>
            </w:tcMar>
          </w:tcPr>
          <w:p w:rsidR="003E3263" w:rsidRPr="002F586D" w:rsidRDefault="00BE2B15" w:rsidP="00BE2B15">
            <w:pPr>
              <w:jc w:val="center"/>
              <w:rPr>
                <w:rFonts w:ascii="Arial Narrow" w:hAnsi="Arial Narrow" w:cs="Arial"/>
                <w:b/>
              </w:rPr>
            </w:pPr>
            <w:r>
              <w:rPr>
                <w:rFonts w:ascii="Arial Narrow" w:hAnsi="Arial Narrow" w:cs="Arial"/>
                <w:b/>
              </w:rPr>
              <w:t>NHFT</w:t>
            </w:r>
          </w:p>
        </w:tc>
        <w:tc>
          <w:tcPr>
            <w:tcW w:w="2552" w:type="dxa"/>
            <w:shd w:val="clear" w:color="auto" w:fill="FFFFFF" w:themeFill="background1"/>
          </w:tcPr>
          <w:p w:rsidR="003E3263" w:rsidRPr="00D07B66" w:rsidRDefault="00D07B66" w:rsidP="00D07B66">
            <w:pPr>
              <w:jc w:val="center"/>
              <w:rPr>
                <w:rFonts w:ascii="Arial Narrow" w:hAnsi="Arial Narrow" w:cs="Arial"/>
                <w:b/>
                <w:color w:val="000000" w:themeColor="text1"/>
              </w:rPr>
            </w:pPr>
            <w:r w:rsidRPr="00D07B66">
              <w:rPr>
                <w:rFonts w:ascii="Arial Narrow" w:hAnsi="Arial Narrow" w:cs="Arial"/>
                <w:b/>
                <w:color w:val="000000" w:themeColor="text1"/>
              </w:rPr>
              <w:t>January 2017</w:t>
            </w:r>
          </w:p>
        </w:tc>
        <w:tc>
          <w:tcPr>
            <w:tcW w:w="1409" w:type="dxa"/>
            <w:shd w:val="clear" w:color="auto" w:fill="FFFFFF" w:themeFill="background1"/>
          </w:tcPr>
          <w:p w:rsidR="003E3263" w:rsidRDefault="003E3263" w:rsidP="00EE5355">
            <w:pPr>
              <w:jc w:val="both"/>
              <w:rPr>
                <w:rFonts w:ascii="Arial Narrow" w:hAnsi="Arial Narrow" w:cs="Arial"/>
                <w:color w:val="000000" w:themeColor="text1"/>
              </w:rPr>
            </w:pPr>
          </w:p>
        </w:tc>
      </w:tr>
      <w:tr w:rsidR="003E3263" w:rsidRPr="00270215" w:rsidTr="00536D4B">
        <w:trPr>
          <w:cantSplit/>
          <w:trHeight w:val="285"/>
        </w:trPr>
        <w:tc>
          <w:tcPr>
            <w:tcW w:w="694" w:type="dxa"/>
            <w:tcMar>
              <w:top w:w="108" w:type="dxa"/>
              <w:bottom w:w="170" w:type="dxa"/>
            </w:tcMar>
          </w:tcPr>
          <w:p w:rsidR="003E3263" w:rsidRDefault="003E3263" w:rsidP="00EE5355">
            <w:pPr>
              <w:pStyle w:val="NoSpacing"/>
              <w:rPr>
                <w:rFonts w:ascii="Arial Narrow" w:hAnsi="Arial Narrow" w:cs="Arial"/>
              </w:rPr>
            </w:pPr>
            <w:r>
              <w:rPr>
                <w:rFonts w:ascii="Arial Narrow" w:hAnsi="Arial Narrow" w:cs="Arial"/>
              </w:rPr>
              <w:t>8.</w:t>
            </w:r>
          </w:p>
        </w:tc>
        <w:tc>
          <w:tcPr>
            <w:tcW w:w="1682" w:type="dxa"/>
            <w:tcMar>
              <w:top w:w="108" w:type="dxa"/>
              <w:bottom w:w="170" w:type="dxa"/>
            </w:tcMar>
          </w:tcPr>
          <w:p w:rsidR="003E3263" w:rsidRPr="00C169F9" w:rsidRDefault="00C169F9" w:rsidP="00EE5355">
            <w:pPr>
              <w:pStyle w:val="NoSpacing"/>
              <w:rPr>
                <w:rFonts w:ascii="Arial Narrow" w:hAnsi="Arial Narrow" w:cs="Arial"/>
                <w:b/>
              </w:rPr>
            </w:pPr>
            <w:r w:rsidRPr="00C169F9">
              <w:rPr>
                <w:rFonts w:ascii="Arial Narrow" w:hAnsi="Arial Narrow" w:cs="Arial"/>
                <w:b/>
              </w:rPr>
              <w:t>Complex Individuals</w:t>
            </w:r>
          </w:p>
        </w:tc>
        <w:tc>
          <w:tcPr>
            <w:tcW w:w="3421" w:type="dxa"/>
            <w:gridSpan w:val="2"/>
          </w:tcPr>
          <w:p w:rsidR="003E3263" w:rsidRPr="00AD185E" w:rsidRDefault="00AD185E" w:rsidP="00AD185E">
            <w:pPr>
              <w:pStyle w:val="NoSpacing"/>
              <w:rPr>
                <w:rFonts w:ascii="Arial Narrow" w:hAnsi="Arial Narrow" w:cs="Arial"/>
              </w:rPr>
            </w:pPr>
            <w:r>
              <w:rPr>
                <w:rFonts w:ascii="Arial Narrow" w:hAnsi="Arial Narrow" w:cs="Arial"/>
              </w:rPr>
              <w:t xml:space="preserve">Co-produced, shared care plans in place for most frequent and complex users of crisis service.  </w:t>
            </w:r>
            <w:r w:rsidRPr="00AD185E">
              <w:rPr>
                <w:rFonts w:ascii="Arial Narrow" w:hAnsi="Arial Narrow" w:cs="Arial"/>
                <w:i/>
              </w:rPr>
              <w:t>Links into CQUIN for 2017-2019 around Frequent Attenders with Mental Health issues</w:t>
            </w:r>
          </w:p>
        </w:tc>
        <w:tc>
          <w:tcPr>
            <w:tcW w:w="2488" w:type="dxa"/>
            <w:shd w:val="clear" w:color="auto" w:fill="auto"/>
            <w:tcMar>
              <w:top w:w="108" w:type="dxa"/>
              <w:bottom w:w="170" w:type="dxa"/>
            </w:tcMar>
          </w:tcPr>
          <w:p w:rsidR="00AD185E" w:rsidRDefault="00AD185E" w:rsidP="00AD185E">
            <w:pPr>
              <w:pStyle w:val="NoSpacing"/>
              <w:numPr>
                <w:ilvl w:val="0"/>
                <w:numId w:val="42"/>
              </w:numPr>
              <w:rPr>
                <w:rFonts w:ascii="Arial Narrow" w:hAnsi="Arial Narrow" w:cs="Arial"/>
              </w:rPr>
            </w:pPr>
            <w:r>
              <w:rPr>
                <w:rFonts w:ascii="Arial Narrow" w:hAnsi="Arial Narrow" w:cs="Arial"/>
              </w:rPr>
              <w:t>Number of complex individuals with care plans in place</w:t>
            </w:r>
          </w:p>
          <w:p w:rsidR="00AD185E" w:rsidRDefault="00AD185E" w:rsidP="00AD185E">
            <w:pPr>
              <w:pStyle w:val="NoSpacing"/>
              <w:numPr>
                <w:ilvl w:val="0"/>
                <w:numId w:val="42"/>
              </w:numPr>
              <w:rPr>
                <w:rFonts w:ascii="Arial Narrow" w:hAnsi="Arial Narrow" w:cs="Arial"/>
              </w:rPr>
            </w:pPr>
            <w:r>
              <w:rPr>
                <w:rFonts w:ascii="Arial Narrow" w:hAnsi="Arial Narrow" w:cs="Arial"/>
              </w:rPr>
              <w:t>Number of individuals identified as frequent attenders (baseline measure with expected reduction)</w:t>
            </w:r>
          </w:p>
          <w:p w:rsidR="00AD185E" w:rsidRPr="00AD185E" w:rsidRDefault="00AD185E" w:rsidP="00AD185E">
            <w:pPr>
              <w:pStyle w:val="NoSpacing"/>
              <w:numPr>
                <w:ilvl w:val="0"/>
                <w:numId w:val="42"/>
              </w:numPr>
              <w:rPr>
                <w:rFonts w:ascii="Arial Narrow" w:hAnsi="Arial Narrow" w:cs="Arial"/>
              </w:rPr>
            </w:pPr>
            <w:r>
              <w:rPr>
                <w:rFonts w:ascii="Arial Narrow" w:hAnsi="Arial Narrow" w:cs="Arial"/>
              </w:rPr>
              <w:t xml:space="preserve">Develop patient experience outcome measure for complex individuals </w:t>
            </w:r>
          </w:p>
        </w:tc>
        <w:tc>
          <w:tcPr>
            <w:tcW w:w="2596" w:type="dxa"/>
            <w:tcMar>
              <w:top w:w="108" w:type="dxa"/>
              <w:bottom w:w="170" w:type="dxa"/>
            </w:tcMar>
          </w:tcPr>
          <w:p w:rsidR="003E3263" w:rsidRPr="002F586D" w:rsidRDefault="00BE2B15" w:rsidP="00BE2B15">
            <w:pPr>
              <w:jc w:val="center"/>
              <w:rPr>
                <w:rFonts w:ascii="Arial Narrow" w:hAnsi="Arial Narrow" w:cs="Arial"/>
                <w:b/>
              </w:rPr>
            </w:pPr>
            <w:r>
              <w:rPr>
                <w:rFonts w:ascii="Arial Narrow" w:hAnsi="Arial Narrow" w:cs="Arial"/>
                <w:b/>
              </w:rPr>
              <w:t>NHFT / NGH</w:t>
            </w:r>
          </w:p>
        </w:tc>
        <w:tc>
          <w:tcPr>
            <w:tcW w:w="2552" w:type="dxa"/>
            <w:shd w:val="clear" w:color="auto" w:fill="FFFFFF" w:themeFill="background1"/>
          </w:tcPr>
          <w:p w:rsidR="003E3263" w:rsidRPr="00D07B66" w:rsidRDefault="00D07B66" w:rsidP="00D07B66">
            <w:pPr>
              <w:jc w:val="center"/>
              <w:rPr>
                <w:rFonts w:ascii="Arial Narrow" w:hAnsi="Arial Narrow" w:cs="Arial"/>
                <w:b/>
                <w:color w:val="000000" w:themeColor="text1"/>
              </w:rPr>
            </w:pPr>
            <w:r>
              <w:rPr>
                <w:rFonts w:ascii="Arial Narrow" w:hAnsi="Arial Narrow" w:cs="Arial"/>
                <w:b/>
                <w:color w:val="000000" w:themeColor="text1"/>
              </w:rPr>
              <w:t>Baseline measures April 2017.  Ongoing monitoring and reporting, quarterly to CCC Steering Group</w:t>
            </w:r>
          </w:p>
        </w:tc>
        <w:tc>
          <w:tcPr>
            <w:tcW w:w="1409" w:type="dxa"/>
            <w:shd w:val="clear" w:color="auto" w:fill="FFFFFF" w:themeFill="background1"/>
          </w:tcPr>
          <w:p w:rsidR="003E3263" w:rsidRDefault="003E3263" w:rsidP="00EE5355">
            <w:pPr>
              <w:jc w:val="both"/>
              <w:rPr>
                <w:rFonts w:ascii="Arial Narrow" w:hAnsi="Arial Narrow" w:cs="Arial"/>
                <w:color w:val="000000" w:themeColor="text1"/>
              </w:rPr>
            </w:pPr>
          </w:p>
        </w:tc>
      </w:tr>
    </w:tbl>
    <w:p w:rsidR="00086373" w:rsidRDefault="00086373"/>
    <w:sectPr w:rsidR="00086373" w:rsidSect="00175C8D">
      <w:headerReference w:type="default" r:id="rId8"/>
      <w:footerReference w:type="default" r:id="rId9"/>
      <w:pgSz w:w="16838" w:h="11906" w:orient="landscape"/>
      <w:pgMar w:top="2410" w:right="936" w:bottom="992" w:left="1276" w:header="992"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59C" w:rsidRDefault="00D1059C" w:rsidP="006D7B46">
      <w:pPr>
        <w:spacing w:after="0" w:line="240" w:lineRule="auto"/>
      </w:pPr>
      <w:r>
        <w:separator/>
      </w:r>
    </w:p>
  </w:endnote>
  <w:endnote w:type="continuationSeparator" w:id="0">
    <w:p w:rsidR="00D1059C" w:rsidRDefault="00D1059C" w:rsidP="006D7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946626"/>
      <w:docPartObj>
        <w:docPartGallery w:val="Page Numbers (Bottom of Page)"/>
        <w:docPartUnique/>
      </w:docPartObj>
    </w:sdtPr>
    <w:sdtEndPr>
      <w:rPr>
        <w:noProof/>
      </w:rPr>
    </w:sdtEndPr>
    <w:sdtContent>
      <w:p w:rsidR="00317CE6" w:rsidRDefault="00317CE6" w:rsidP="00175C8D">
        <w:pPr>
          <w:pStyle w:val="Footer"/>
          <w:tabs>
            <w:tab w:val="clear" w:pos="9026"/>
            <w:tab w:val="right" w:pos="14601"/>
          </w:tabs>
          <w:jc w:val="center"/>
        </w:pPr>
        <w:r>
          <w:fldChar w:fldCharType="begin"/>
        </w:r>
        <w:r>
          <w:instrText xml:space="preserve"> PAGE   \* MERGEFORMAT </w:instrText>
        </w:r>
        <w:r>
          <w:fldChar w:fldCharType="separate"/>
        </w:r>
        <w:r w:rsidR="00D1059C">
          <w:rPr>
            <w:noProof/>
          </w:rPr>
          <w:t>1</w:t>
        </w:r>
        <w:r>
          <w:rPr>
            <w:noProof/>
          </w:rPr>
          <w:fldChar w:fldCharType="end"/>
        </w:r>
        <w:r>
          <w:rPr>
            <w:noProof/>
          </w:rPr>
          <w:tab/>
        </w:r>
        <w:r>
          <w:rPr>
            <w:noProof/>
          </w:rPr>
          <w:tab/>
        </w:r>
        <w:r>
          <w:rPr>
            <w:i/>
            <w:noProof/>
          </w:rPr>
          <w:t xml:space="preserve">Updated: </w:t>
        </w:r>
        <w:r w:rsidR="005F4A41">
          <w:rPr>
            <w:i/>
            <w:noProof/>
          </w:rPr>
          <w:t>22.09.2016</w:t>
        </w:r>
      </w:p>
    </w:sdtContent>
  </w:sdt>
  <w:p w:rsidR="00317CE6" w:rsidRDefault="00317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59C" w:rsidRDefault="00D1059C" w:rsidP="006D7B46">
      <w:pPr>
        <w:spacing w:after="0" w:line="240" w:lineRule="auto"/>
      </w:pPr>
      <w:r>
        <w:separator/>
      </w:r>
    </w:p>
  </w:footnote>
  <w:footnote w:type="continuationSeparator" w:id="0">
    <w:p w:rsidR="00D1059C" w:rsidRDefault="00D1059C" w:rsidP="006D7B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CE6" w:rsidRDefault="00317CE6" w:rsidP="00175C8D">
    <w:pPr>
      <w:tabs>
        <w:tab w:val="left" w:pos="1128"/>
        <w:tab w:val="center" w:pos="6979"/>
      </w:tabs>
      <w:autoSpaceDE w:val="0"/>
      <w:autoSpaceDN w:val="0"/>
      <w:adjustRightInd w:val="0"/>
      <w:spacing w:after="0" w:line="240" w:lineRule="auto"/>
      <w:jc w:val="right"/>
      <w:rPr>
        <w:rFonts w:ascii="Tahoma" w:hAnsi="Tahoma" w:cs="Tahoma"/>
        <w:b/>
        <w:bCs/>
        <w:color w:val="FFFFFF" w:themeColor="background1"/>
        <w:sz w:val="23"/>
        <w:szCs w:val="24"/>
      </w:rPr>
    </w:pPr>
    <w:r w:rsidRPr="00A41486">
      <w:rPr>
        <w:rFonts w:ascii="Tahoma" w:hAnsi="Tahoma" w:cs="Tahoma"/>
        <w:noProof/>
        <w:color w:val="FFFFFF" w:themeColor="background1"/>
        <w:sz w:val="23"/>
        <w:lang w:eastAsia="en-GB"/>
      </w:rPr>
      <w:drawing>
        <wp:anchor distT="0" distB="0" distL="114300" distR="114300" simplePos="0" relativeHeight="251659264" behindDoc="1" locked="0" layoutInCell="1" allowOverlap="1" wp14:anchorId="36EA7300" wp14:editId="5B4A8EC8">
          <wp:simplePos x="0" y="0"/>
          <wp:positionH relativeFrom="column">
            <wp:posOffset>-481965</wp:posOffset>
          </wp:positionH>
          <wp:positionV relativeFrom="page">
            <wp:posOffset>0</wp:posOffset>
          </wp:positionV>
          <wp:extent cx="11125058" cy="1409700"/>
          <wp:effectExtent l="0" t="0" r="635" b="0"/>
          <wp:wrapNone/>
          <wp:docPr id="1" name="Placeholder" descr="::Headers: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s:Landscape.png"/>
                  <pic:cNvPicPr>
                    <a:picLocks noChangeAspect="1" noChangeArrowheads="1"/>
                  </pic:cNvPicPr>
                </pic:nvPicPr>
                <pic:blipFill>
                  <a:blip r:embed="rId1"/>
                  <a:srcRect/>
                  <a:stretch>
                    <a:fillRect/>
                  </a:stretch>
                </pic:blipFill>
                <pic:spPr bwMode="auto">
                  <a:xfrm>
                    <a:off x="0" y="0"/>
                    <a:ext cx="11125058" cy="1409700"/>
                  </a:xfrm>
                  <a:prstGeom prst="rect">
                    <a:avLst/>
                  </a:prstGeom>
                  <a:solidFill>
                    <a:srgbClr val="61AEB5"/>
                  </a:solidFill>
                  <a:ln w="9525">
                    <a:noFill/>
                    <a:miter lim="800000"/>
                    <a:headEnd/>
                    <a:tailEnd/>
                  </a:ln>
                </pic:spPr>
              </pic:pic>
            </a:graphicData>
          </a:graphic>
        </wp:anchor>
      </w:drawing>
    </w:r>
    <w:r>
      <w:rPr>
        <w:rFonts w:ascii="Tahoma" w:hAnsi="Tahoma" w:cs="Tahoma"/>
        <w:b/>
        <w:bCs/>
        <w:color w:val="FFFFFF" w:themeColor="background1"/>
        <w:sz w:val="23"/>
        <w:szCs w:val="24"/>
      </w:rPr>
      <w:t>Northamptonshire</w:t>
    </w:r>
    <w:r w:rsidRPr="00A41486">
      <w:rPr>
        <w:rFonts w:ascii="Tahoma" w:hAnsi="Tahoma" w:cs="Tahoma"/>
        <w:b/>
        <w:bCs/>
        <w:color w:val="FFFFFF" w:themeColor="background1"/>
        <w:sz w:val="23"/>
        <w:szCs w:val="24"/>
      </w:rPr>
      <w:t xml:space="preserve"> action plan </w:t>
    </w:r>
  </w:p>
  <w:p w:rsidR="00317CE6" w:rsidRPr="00A41486" w:rsidRDefault="00317CE6" w:rsidP="00175C8D">
    <w:pPr>
      <w:tabs>
        <w:tab w:val="left" w:pos="1128"/>
        <w:tab w:val="center" w:pos="6979"/>
      </w:tabs>
      <w:autoSpaceDE w:val="0"/>
      <w:autoSpaceDN w:val="0"/>
      <w:adjustRightInd w:val="0"/>
      <w:spacing w:after="0" w:line="240" w:lineRule="auto"/>
      <w:jc w:val="right"/>
      <w:rPr>
        <w:rFonts w:ascii="Tahoma" w:hAnsi="Tahoma" w:cs="Tahoma"/>
        <w:b/>
        <w:bCs/>
        <w:color w:val="FFFFFF" w:themeColor="background1"/>
        <w:sz w:val="23"/>
        <w:szCs w:val="24"/>
      </w:rPr>
    </w:pPr>
    <w:r w:rsidRPr="00A41486">
      <w:rPr>
        <w:rFonts w:ascii="Tahoma" w:hAnsi="Tahoma" w:cs="Tahoma"/>
        <w:b/>
        <w:bCs/>
        <w:color w:val="FFFFFF" w:themeColor="background1"/>
        <w:sz w:val="23"/>
        <w:szCs w:val="24"/>
      </w:rPr>
      <w:t>to enable delivery of shared goals of the Mental Health Crisis Care Concordat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1C96"/>
    <w:multiLevelType w:val="hybridMultilevel"/>
    <w:tmpl w:val="2696931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Arial"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Arial"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Arial"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56242D3"/>
    <w:multiLevelType w:val="multilevel"/>
    <w:tmpl w:val="D32CFDD4"/>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60070F2"/>
    <w:multiLevelType w:val="hybridMultilevel"/>
    <w:tmpl w:val="DA2EC7D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6662CB4"/>
    <w:multiLevelType w:val="hybridMultilevel"/>
    <w:tmpl w:val="818C78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DB55BB"/>
    <w:multiLevelType w:val="hybridMultilevel"/>
    <w:tmpl w:val="70806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246ED9"/>
    <w:multiLevelType w:val="hybridMultilevel"/>
    <w:tmpl w:val="680AA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AD04E2"/>
    <w:multiLevelType w:val="multilevel"/>
    <w:tmpl w:val="B3A41F62"/>
    <w:lvl w:ilvl="0">
      <w:start w:val="1"/>
      <w:numFmt w:val="bullet"/>
      <w:lvlText w:val="o"/>
      <w:lvlJc w:val="left"/>
      <w:pPr>
        <w:ind w:left="720" w:hanging="360"/>
      </w:pPr>
      <w:rPr>
        <w:rFonts w:ascii="Courier New" w:hAnsi="Courier New" w:cs="Courier New"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0D2B21"/>
    <w:multiLevelType w:val="hybridMultilevel"/>
    <w:tmpl w:val="3C281594"/>
    <w:lvl w:ilvl="0" w:tplc="F9D62824">
      <w:start w:val="1"/>
      <w:numFmt w:val="bullet"/>
      <w:lvlText w:val="-"/>
      <w:lvlJc w:val="left"/>
      <w:pPr>
        <w:ind w:left="1447" w:hanging="360"/>
      </w:pPr>
      <w:rPr>
        <w:rFonts w:ascii="Arial" w:eastAsiaTheme="minorHAnsi" w:hAnsi="Arial" w:cs="Arial"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8" w15:restartNumberingAfterBreak="0">
    <w:nsid w:val="167072DE"/>
    <w:multiLevelType w:val="multilevel"/>
    <w:tmpl w:val="DD4C4932"/>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FEA00B5"/>
    <w:multiLevelType w:val="hybridMultilevel"/>
    <w:tmpl w:val="994A4C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0150400"/>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3952FB"/>
    <w:multiLevelType w:val="hybridMultilevel"/>
    <w:tmpl w:val="63A05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5E5A27"/>
    <w:multiLevelType w:val="hybridMultilevel"/>
    <w:tmpl w:val="CBC00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535226A"/>
    <w:multiLevelType w:val="hybridMultilevel"/>
    <w:tmpl w:val="C3E4800A"/>
    <w:lvl w:ilvl="0" w:tplc="F9D62824">
      <w:start w:val="1"/>
      <w:numFmt w:val="bullet"/>
      <w:lvlText w:val="-"/>
      <w:lvlJc w:val="left"/>
      <w:pPr>
        <w:ind w:left="1069"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BA4908"/>
    <w:multiLevelType w:val="hybridMultilevel"/>
    <w:tmpl w:val="EAB481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853FC8"/>
    <w:multiLevelType w:val="hybridMultilevel"/>
    <w:tmpl w:val="6C7C3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E44DE7"/>
    <w:multiLevelType w:val="hybridMultilevel"/>
    <w:tmpl w:val="93DE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07261F"/>
    <w:multiLevelType w:val="hybridMultilevel"/>
    <w:tmpl w:val="1B98E0D6"/>
    <w:lvl w:ilvl="0" w:tplc="35B4A47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316D6CE2"/>
    <w:multiLevelType w:val="hybridMultilevel"/>
    <w:tmpl w:val="3CC6E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0239F4"/>
    <w:multiLevelType w:val="hybridMultilevel"/>
    <w:tmpl w:val="E8CEC8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4C1C9F"/>
    <w:multiLevelType w:val="hybridMultilevel"/>
    <w:tmpl w:val="E59AE9F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7B25BE7"/>
    <w:multiLevelType w:val="hybridMultilevel"/>
    <w:tmpl w:val="D3448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CA616D"/>
    <w:multiLevelType w:val="hybridMultilevel"/>
    <w:tmpl w:val="BB88D18A"/>
    <w:lvl w:ilvl="0" w:tplc="472E2052">
      <w:start w:val="1"/>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E4463A"/>
    <w:multiLevelType w:val="hybridMultilevel"/>
    <w:tmpl w:val="149601D4"/>
    <w:lvl w:ilvl="0" w:tplc="08090001">
      <w:start w:val="1"/>
      <w:numFmt w:val="bullet"/>
      <w:lvlText w:val=""/>
      <w:lvlJc w:val="left"/>
      <w:pPr>
        <w:ind w:left="720" w:hanging="360"/>
      </w:pPr>
      <w:rPr>
        <w:rFonts w:ascii="Symbol" w:hAnsi="Symbol" w:hint="default"/>
      </w:rPr>
    </w:lvl>
    <w:lvl w:ilvl="1" w:tplc="6E1CAD70">
      <w:numFmt w:val="bullet"/>
      <w:lvlText w:val="·"/>
      <w:lvlJc w:val="left"/>
      <w:pPr>
        <w:ind w:left="1440" w:hanging="360"/>
      </w:pPr>
      <w:rPr>
        <w:rFonts w:ascii="Lucida Sans Unicode" w:eastAsia="Times New Roman" w:hAnsi="Lucida Sans Unicode"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B30B60"/>
    <w:multiLevelType w:val="hybridMultilevel"/>
    <w:tmpl w:val="160406BC"/>
    <w:lvl w:ilvl="0" w:tplc="08090001">
      <w:start w:val="1"/>
      <w:numFmt w:val="bullet"/>
      <w:lvlText w:val=""/>
      <w:lvlJc w:val="left"/>
      <w:pPr>
        <w:ind w:left="5030" w:hanging="360"/>
      </w:pPr>
      <w:rPr>
        <w:rFonts w:ascii="Symbol" w:hAnsi="Symbol" w:hint="default"/>
      </w:rPr>
    </w:lvl>
    <w:lvl w:ilvl="1" w:tplc="08090003" w:tentative="1">
      <w:start w:val="1"/>
      <w:numFmt w:val="bullet"/>
      <w:lvlText w:val="o"/>
      <w:lvlJc w:val="left"/>
      <w:pPr>
        <w:ind w:left="5750" w:hanging="360"/>
      </w:pPr>
      <w:rPr>
        <w:rFonts w:ascii="Courier New" w:hAnsi="Courier New" w:cs="Courier New" w:hint="default"/>
      </w:rPr>
    </w:lvl>
    <w:lvl w:ilvl="2" w:tplc="08090005" w:tentative="1">
      <w:start w:val="1"/>
      <w:numFmt w:val="bullet"/>
      <w:lvlText w:val=""/>
      <w:lvlJc w:val="left"/>
      <w:pPr>
        <w:ind w:left="6470" w:hanging="360"/>
      </w:pPr>
      <w:rPr>
        <w:rFonts w:ascii="Wingdings" w:hAnsi="Wingdings" w:hint="default"/>
      </w:rPr>
    </w:lvl>
    <w:lvl w:ilvl="3" w:tplc="08090001" w:tentative="1">
      <w:start w:val="1"/>
      <w:numFmt w:val="bullet"/>
      <w:lvlText w:val=""/>
      <w:lvlJc w:val="left"/>
      <w:pPr>
        <w:ind w:left="7190" w:hanging="360"/>
      </w:pPr>
      <w:rPr>
        <w:rFonts w:ascii="Symbol" w:hAnsi="Symbol" w:hint="default"/>
      </w:rPr>
    </w:lvl>
    <w:lvl w:ilvl="4" w:tplc="08090003" w:tentative="1">
      <w:start w:val="1"/>
      <w:numFmt w:val="bullet"/>
      <w:lvlText w:val="o"/>
      <w:lvlJc w:val="left"/>
      <w:pPr>
        <w:ind w:left="7910" w:hanging="360"/>
      </w:pPr>
      <w:rPr>
        <w:rFonts w:ascii="Courier New" w:hAnsi="Courier New" w:cs="Courier New" w:hint="default"/>
      </w:rPr>
    </w:lvl>
    <w:lvl w:ilvl="5" w:tplc="08090005" w:tentative="1">
      <w:start w:val="1"/>
      <w:numFmt w:val="bullet"/>
      <w:lvlText w:val=""/>
      <w:lvlJc w:val="left"/>
      <w:pPr>
        <w:ind w:left="8630" w:hanging="360"/>
      </w:pPr>
      <w:rPr>
        <w:rFonts w:ascii="Wingdings" w:hAnsi="Wingdings" w:hint="default"/>
      </w:rPr>
    </w:lvl>
    <w:lvl w:ilvl="6" w:tplc="08090001" w:tentative="1">
      <w:start w:val="1"/>
      <w:numFmt w:val="bullet"/>
      <w:lvlText w:val=""/>
      <w:lvlJc w:val="left"/>
      <w:pPr>
        <w:ind w:left="9350" w:hanging="360"/>
      </w:pPr>
      <w:rPr>
        <w:rFonts w:ascii="Symbol" w:hAnsi="Symbol" w:hint="default"/>
      </w:rPr>
    </w:lvl>
    <w:lvl w:ilvl="7" w:tplc="08090003" w:tentative="1">
      <w:start w:val="1"/>
      <w:numFmt w:val="bullet"/>
      <w:lvlText w:val="o"/>
      <w:lvlJc w:val="left"/>
      <w:pPr>
        <w:ind w:left="10070" w:hanging="360"/>
      </w:pPr>
      <w:rPr>
        <w:rFonts w:ascii="Courier New" w:hAnsi="Courier New" w:cs="Courier New" w:hint="default"/>
      </w:rPr>
    </w:lvl>
    <w:lvl w:ilvl="8" w:tplc="08090005" w:tentative="1">
      <w:start w:val="1"/>
      <w:numFmt w:val="bullet"/>
      <w:lvlText w:val=""/>
      <w:lvlJc w:val="left"/>
      <w:pPr>
        <w:ind w:left="10790" w:hanging="360"/>
      </w:pPr>
      <w:rPr>
        <w:rFonts w:ascii="Wingdings" w:hAnsi="Wingdings" w:hint="default"/>
      </w:rPr>
    </w:lvl>
  </w:abstractNum>
  <w:abstractNum w:abstractNumId="25" w15:restartNumberingAfterBreak="0">
    <w:nsid w:val="4B681CAA"/>
    <w:multiLevelType w:val="hybridMultilevel"/>
    <w:tmpl w:val="B1966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3E3390"/>
    <w:multiLevelType w:val="hybridMultilevel"/>
    <w:tmpl w:val="8F3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AF592A"/>
    <w:multiLevelType w:val="multilevel"/>
    <w:tmpl w:val="CB04F6CA"/>
    <w:lvl w:ilvl="0">
      <w:start w:val="3"/>
      <w:numFmt w:val="decimal"/>
      <w:lvlText w:val="%1"/>
      <w:lvlJc w:val="left"/>
      <w:pPr>
        <w:ind w:left="360" w:hanging="360"/>
      </w:pPr>
      <w:rPr>
        <w:rFonts w:hint="default"/>
        <w:color w:val="auto"/>
        <w:sz w:val="22"/>
      </w:rPr>
    </w:lvl>
    <w:lvl w:ilvl="1">
      <w:start w:val="2"/>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1080" w:hanging="108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440" w:hanging="144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800" w:hanging="1800"/>
      </w:pPr>
      <w:rPr>
        <w:rFonts w:hint="default"/>
        <w:color w:val="auto"/>
        <w:sz w:val="22"/>
      </w:rPr>
    </w:lvl>
    <w:lvl w:ilvl="8">
      <w:start w:val="1"/>
      <w:numFmt w:val="decimal"/>
      <w:lvlText w:val="%1.%2.%3.%4.%5.%6.%7.%8.%9"/>
      <w:lvlJc w:val="left"/>
      <w:pPr>
        <w:ind w:left="1800" w:hanging="1800"/>
      </w:pPr>
      <w:rPr>
        <w:rFonts w:hint="default"/>
        <w:color w:val="auto"/>
        <w:sz w:val="22"/>
      </w:rPr>
    </w:lvl>
  </w:abstractNum>
  <w:abstractNum w:abstractNumId="28" w15:restartNumberingAfterBreak="0">
    <w:nsid w:val="58A21A3F"/>
    <w:multiLevelType w:val="hybridMultilevel"/>
    <w:tmpl w:val="0B868C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09F1183"/>
    <w:multiLevelType w:val="hybridMultilevel"/>
    <w:tmpl w:val="246EF9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0D93A60"/>
    <w:multiLevelType w:val="multilevel"/>
    <w:tmpl w:val="4B64B110"/>
    <w:lvl w:ilvl="0">
      <w:start w:val="3"/>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0F15B5B"/>
    <w:multiLevelType w:val="hybridMultilevel"/>
    <w:tmpl w:val="F45CF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61E5038"/>
    <w:multiLevelType w:val="hybridMultilevel"/>
    <w:tmpl w:val="4CBC1F4A"/>
    <w:lvl w:ilvl="0" w:tplc="5B369546">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672C4CD0"/>
    <w:multiLevelType w:val="hybridMultilevel"/>
    <w:tmpl w:val="327C3734"/>
    <w:lvl w:ilvl="0" w:tplc="F9D62824">
      <w:start w:val="1"/>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94719DF"/>
    <w:multiLevelType w:val="hybridMultilevel"/>
    <w:tmpl w:val="6610DCD0"/>
    <w:lvl w:ilvl="0" w:tplc="F9D62824">
      <w:start w:val="1"/>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5" w15:restartNumberingAfterBreak="0">
    <w:nsid w:val="6D6A5484"/>
    <w:multiLevelType w:val="hybridMultilevel"/>
    <w:tmpl w:val="39B2D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D7026FA"/>
    <w:multiLevelType w:val="hybridMultilevel"/>
    <w:tmpl w:val="1908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260084"/>
    <w:multiLevelType w:val="multilevel"/>
    <w:tmpl w:val="D102F9D2"/>
    <w:lvl w:ilvl="0">
      <w:start w:val="2"/>
      <w:numFmt w:val="decimal"/>
      <w:lvlText w:val="%1."/>
      <w:lvlJc w:val="left"/>
      <w:pPr>
        <w:ind w:left="720" w:hanging="360"/>
      </w:pPr>
      <w:rPr>
        <w:rFonts w:hint="default"/>
      </w:rPr>
    </w:lvl>
    <w:lvl w:ilvl="1">
      <w:start w:val="1"/>
      <w:numFmt w:val="decimal"/>
      <w:isLgl/>
      <w:lvlText w:val="%1.%2"/>
      <w:lvlJc w:val="left"/>
      <w:pPr>
        <w:ind w:left="547" w:hanging="405"/>
      </w:pPr>
      <w:rPr>
        <w:rFonts w:hint="default"/>
        <w:color w:val="000000"/>
        <w:sz w:val="24"/>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440" w:hanging="108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800" w:hanging="144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2160" w:hanging="180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38" w15:restartNumberingAfterBreak="0">
    <w:nsid w:val="71DF56D6"/>
    <w:multiLevelType w:val="hybridMultilevel"/>
    <w:tmpl w:val="EB7EDE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384E1F"/>
    <w:multiLevelType w:val="hybridMultilevel"/>
    <w:tmpl w:val="A3E28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8EB2D5C"/>
    <w:multiLevelType w:val="multilevel"/>
    <w:tmpl w:val="BF30114A"/>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7E013D79"/>
    <w:multiLevelType w:val="hybridMultilevel"/>
    <w:tmpl w:val="4BC2C2CE"/>
    <w:lvl w:ilvl="0" w:tplc="472E2052">
      <w:start w:val="1"/>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18"/>
  </w:num>
  <w:num w:numId="2">
    <w:abstractNumId w:val="2"/>
  </w:num>
  <w:num w:numId="3">
    <w:abstractNumId w:val="37"/>
  </w:num>
  <w:num w:numId="4">
    <w:abstractNumId w:val="41"/>
  </w:num>
  <w:num w:numId="5">
    <w:abstractNumId w:val="27"/>
  </w:num>
  <w:num w:numId="6">
    <w:abstractNumId w:val="22"/>
  </w:num>
  <w:num w:numId="7">
    <w:abstractNumId w:val="29"/>
  </w:num>
  <w:num w:numId="8">
    <w:abstractNumId w:val="12"/>
  </w:num>
  <w:num w:numId="9">
    <w:abstractNumId w:val="14"/>
  </w:num>
  <w:num w:numId="10">
    <w:abstractNumId w:val="24"/>
  </w:num>
  <w:num w:numId="11">
    <w:abstractNumId w:val="34"/>
  </w:num>
  <w:num w:numId="12">
    <w:abstractNumId w:val="32"/>
  </w:num>
  <w:num w:numId="13">
    <w:abstractNumId w:val="17"/>
  </w:num>
  <w:num w:numId="14">
    <w:abstractNumId w:val="13"/>
  </w:num>
  <w:num w:numId="15">
    <w:abstractNumId w:val="7"/>
  </w:num>
  <w:num w:numId="16">
    <w:abstractNumId w:val="33"/>
  </w:num>
  <w:num w:numId="17">
    <w:abstractNumId w:val="16"/>
  </w:num>
  <w:num w:numId="18">
    <w:abstractNumId w:val="8"/>
  </w:num>
  <w:num w:numId="19">
    <w:abstractNumId w:val="0"/>
  </w:num>
  <w:num w:numId="20">
    <w:abstractNumId w:val="1"/>
  </w:num>
  <w:num w:numId="21">
    <w:abstractNumId w:val="30"/>
  </w:num>
  <w:num w:numId="22">
    <w:abstractNumId w:val="40"/>
  </w:num>
  <w:num w:numId="23">
    <w:abstractNumId w:val="23"/>
  </w:num>
  <w:num w:numId="24">
    <w:abstractNumId w:val="5"/>
  </w:num>
  <w:num w:numId="25">
    <w:abstractNumId w:val="10"/>
  </w:num>
  <w:num w:numId="26">
    <w:abstractNumId w:val="26"/>
  </w:num>
  <w:num w:numId="27">
    <w:abstractNumId w:val="19"/>
  </w:num>
  <w:num w:numId="28">
    <w:abstractNumId w:val="3"/>
  </w:num>
  <w:num w:numId="29">
    <w:abstractNumId w:val="6"/>
  </w:num>
  <w:num w:numId="30">
    <w:abstractNumId w:val="35"/>
  </w:num>
  <w:num w:numId="31">
    <w:abstractNumId w:val="25"/>
  </w:num>
  <w:num w:numId="32">
    <w:abstractNumId w:val="38"/>
  </w:num>
  <w:num w:numId="33">
    <w:abstractNumId w:val="20"/>
  </w:num>
  <w:num w:numId="34">
    <w:abstractNumId w:val="28"/>
  </w:num>
  <w:num w:numId="35">
    <w:abstractNumId w:val="36"/>
  </w:num>
  <w:num w:numId="36">
    <w:abstractNumId w:val="9"/>
  </w:num>
  <w:num w:numId="37">
    <w:abstractNumId w:val="11"/>
  </w:num>
  <w:num w:numId="38">
    <w:abstractNumId w:val="21"/>
  </w:num>
  <w:num w:numId="39">
    <w:abstractNumId w:val="31"/>
  </w:num>
  <w:num w:numId="40">
    <w:abstractNumId w:val="4"/>
  </w:num>
  <w:num w:numId="41">
    <w:abstractNumId w:val="39"/>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124"/>
    <w:rsid w:val="00032CBC"/>
    <w:rsid w:val="00037EE3"/>
    <w:rsid w:val="00043429"/>
    <w:rsid w:val="00064B36"/>
    <w:rsid w:val="000700B8"/>
    <w:rsid w:val="00086373"/>
    <w:rsid w:val="000B27ED"/>
    <w:rsid w:val="000F157F"/>
    <w:rsid w:val="00100F62"/>
    <w:rsid w:val="0011105A"/>
    <w:rsid w:val="00114BF4"/>
    <w:rsid w:val="0012468E"/>
    <w:rsid w:val="00142ADA"/>
    <w:rsid w:val="00144890"/>
    <w:rsid w:val="00174528"/>
    <w:rsid w:val="00175C8D"/>
    <w:rsid w:val="001918E4"/>
    <w:rsid w:val="001A5A5C"/>
    <w:rsid w:val="001C60F6"/>
    <w:rsid w:val="00202E06"/>
    <w:rsid w:val="002033C5"/>
    <w:rsid w:val="00205A90"/>
    <w:rsid w:val="00206201"/>
    <w:rsid w:val="002132E8"/>
    <w:rsid w:val="00226AA9"/>
    <w:rsid w:val="00262098"/>
    <w:rsid w:val="0026378A"/>
    <w:rsid w:val="002C0D9A"/>
    <w:rsid w:val="002D2F16"/>
    <w:rsid w:val="00305671"/>
    <w:rsid w:val="00317CE6"/>
    <w:rsid w:val="00324DFF"/>
    <w:rsid w:val="0035194E"/>
    <w:rsid w:val="00352637"/>
    <w:rsid w:val="00395DC9"/>
    <w:rsid w:val="003B0F5C"/>
    <w:rsid w:val="003B30DA"/>
    <w:rsid w:val="003C7CE3"/>
    <w:rsid w:val="003D3E44"/>
    <w:rsid w:val="003E3263"/>
    <w:rsid w:val="003F4534"/>
    <w:rsid w:val="00400753"/>
    <w:rsid w:val="00421238"/>
    <w:rsid w:val="004356D4"/>
    <w:rsid w:val="00446ED9"/>
    <w:rsid w:val="004744A2"/>
    <w:rsid w:val="004760AB"/>
    <w:rsid w:val="004912D5"/>
    <w:rsid w:val="0049725E"/>
    <w:rsid w:val="004B1B14"/>
    <w:rsid w:val="004B52AE"/>
    <w:rsid w:val="004C39F9"/>
    <w:rsid w:val="004D0842"/>
    <w:rsid w:val="004F47D1"/>
    <w:rsid w:val="00536D4B"/>
    <w:rsid w:val="00537D59"/>
    <w:rsid w:val="00542C74"/>
    <w:rsid w:val="005757FA"/>
    <w:rsid w:val="005849D5"/>
    <w:rsid w:val="00590117"/>
    <w:rsid w:val="005A4552"/>
    <w:rsid w:val="005B2B30"/>
    <w:rsid w:val="005B58D0"/>
    <w:rsid w:val="005D6074"/>
    <w:rsid w:val="005F4A41"/>
    <w:rsid w:val="005F72CF"/>
    <w:rsid w:val="00625144"/>
    <w:rsid w:val="006544B8"/>
    <w:rsid w:val="00656D70"/>
    <w:rsid w:val="00675237"/>
    <w:rsid w:val="006831C5"/>
    <w:rsid w:val="00693987"/>
    <w:rsid w:val="00693B8E"/>
    <w:rsid w:val="006A282E"/>
    <w:rsid w:val="006C0389"/>
    <w:rsid w:val="006D52F9"/>
    <w:rsid w:val="006D7B46"/>
    <w:rsid w:val="006F0D63"/>
    <w:rsid w:val="00720A96"/>
    <w:rsid w:val="00734F1E"/>
    <w:rsid w:val="007D052E"/>
    <w:rsid w:val="007D6D20"/>
    <w:rsid w:val="0081577B"/>
    <w:rsid w:val="00816D10"/>
    <w:rsid w:val="008361D7"/>
    <w:rsid w:val="00836DC5"/>
    <w:rsid w:val="00873FB3"/>
    <w:rsid w:val="00893CE4"/>
    <w:rsid w:val="008C6345"/>
    <w:rsid w:val="00904EDD"/>
    <w:rsid w:val="00904F02"/>
    <w:rsid w:val="00911DD8"/>
    <w:rsid w:val="00937192"/>
    <w:rsid w:val="00952FFD"/>
    <w:rsid w:val="00953124"/>
    <w:rsid w:val="00980318"/>
    <w:rsid w:val="00980EF8"/>
    <w:rsid w:val="00986753"/>
    <w:rsid w:val="00990F31"/>
    <w:rsid w:val="009B193B"/>
    <w:rsid w:val="009B566D"/>
    <w:rsid w:val="009C2B3F"/>
    <w:rsid w:val="00A01508"/>
    <w:rsid w:val="00A340C9"/>
    <w:rsid w:val="00A3476B"/>
    <w:rsid w:val="00A4594C"/>
    <w:rsid w:val="00A56A10"/>
    <w:rsid w:val="00A8127D"/>
    <w:rsid w:val="00A9131A"/>
    <w:rsid w:val="00A92285"/>
    <w:rsid w:val="00AB2186"/>
    <w:rsid w:val="00AC3AF3"/>
    <w:rsid w:val="00AC536F"/>
    <w:rsid w:val="00AD185E"/>
    <w:rsid w:val="00B06038"/>
    <w:rsid w:val="00B11308"/>
    <w:rsid w:val="00B12866"/>
    <w:rsid w:val="00B619CF"/>
    <w:rsid w:val="00B65F08"/>
    <w:rsid w:val="00BE16D7"/>
    <w:rsid w:val="00BE22F4"/>
    <w:rsid w:val="00BE2B15"/>
    <w:rsid w:val="00C04443"/>
    <w:rsid w:val="00C047CF"/>
    <w:rsid w:val="00C04F01"/>
    <w:rsid w:val="00C114CC"/>
    <w:rsid w:val="00C169F9"/>
    <w:rsid w:val="00C31939"/>
    <w:rsid w:val="00C56A87"/>
    <w:rsid w:val="00C96243"/>
    <w:rsid w:val="00CB1101"/>
    <w:rsid w:val="00CB4D0A"/>
    <w:rsid w:val="00CB72BE"/>
    <w:rsid w:val="00CC0B6F"/>
    <w:rsid w:val="00CD1F61"/>
    <w:rsid w:val="00CD3C46"/>
    <w:rsid w:val="00CE169A"/>
    <w:rsid w:val="00CF4793"/>
    <w:rsid w:val="00D07B66"/>
    <w:rsid w:val="00D1059C"/>
    <w:rsid w:val="00D73A21"/>
    <w:rsid w:val="00D82EA7"/>
    <w:rsid w:val="00D87B46"/>
    <w:rsid w:val="00D94F0E"/>
    <w:rsid w:val="00DC1B00"/>
    <w:rsid w:val="00DC24AF"/>
    <w:rsid w:val="00DE58C3"/>
    <w:rsid w:val="00DE75DB"/>
    <w:rsid w:val="00E1344D"/>
    <w:rsid w:val="00E4321E"/>
    <w:rsid w:val="00E54E7C"/>
    <w:rsid w:val="00E54F4A"/>
    <w:rsid w:val="00E55EFE"/>
    <w:rsid w:val="00E57F3F"/>
    <w:rsid w:val="00E57FF0"/>
    <w:rsid w:val="00E973D6"/>
    <w:rsid w:val="00EB505C"/>
    <w:rsid w:val="00EE3783"/>
    <w:rsid w:val="00EE5355"/>
    <w:rsid w:val="00EE7CD7"/>
    <w:rsid w:val="00F30F3C"/>
    <w:rsid w:val="00F449A5"/>
    <w:rsid w:val="00F527DD"/>
    <w:rsid w:val="00F60ABC"/>
    <w:rsid w:val="00F731E4"/>
    <w:rsid w:val="00FC5C90"/>
    <w:rsid w:val="00FE3371"/>
    <w:rsid w:val="00FF11A3"/>
    <w:rsid w:val="00FF2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E2B3FB-5368-453D-A769-75898C04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831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831C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1C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831C5"/>
    <w:rPr>
      <w:rFonts w:ascii="Times New Roman" w:eastAsia="Times New Roman" w:hAnsi="Times New Roman" w:cs="Times New Roman"/>
      <w:b/>
      <w:bCs/>
      <w:sz w:val="36"/>
      <w:szCs w:val="36"/>
      <w:lang w:eastAsia="en-GB"/>
    </w:rPr>
  </w:style>
  <w:style w:type="paragraph" w:customStyle="1" w:styleId="Default">
    <w:name w:val="Default"/>
    <w:rsid w:val="00953124"/>
    <w:pPr>
      <w:autoSpaceDE w:val="0"/>
      <w:autoSpaceDN w:val="0"/>
      <w:adjustRightInd w:val="0"/>
      <w:spacing w:after="0" w:line="240" w:lineRule="auto"/>
    </w:pPr>
    <w:rPr>
      <w:rFonts w:ascii="Arial" w:hAnsi="Arial" w:cs="Arial"/>
      <w:color w:val="000000"/>
      <w:sz w:val="24"/>
      <w:szCs w:val="24"/>
    </w:rPr>
  </w:style>
  <w:style w:type="paragraph" w:customStyle="1" w:styleId="CM7">
    <w:name w:val="CM7"/>
    <w:basedOn w:val="Default"/>
    <w:next w:val="Default"/>
    <w:uiPriority w:val="99"/>
    <w:rsid w:val="00953124"/>
    <w:rPr>
      <w:color w:val="auto"/>
    </w:rPr>
  </w:style>
  <w:style w:type="paragraph" w:customStyle="1" w:styleId="CM2">
    <w:name w:val="CM2"/>
    <w:basedOn w:val="Default"/>
    <w:next w:val="Default"/>
    <w:uiPriority w:val="99"/>
    <w:rsid w:val="00953124"/>
    <w:pPr>
      <w:spacing w:line="276" w:lineRule="atLeast"/>
    </w:pPr>
    <w:rPr>
      <w:color w:val="auto"/>
    </w:rPr>
  </w:style>
  <w:style w:type="table" w:styleId="TableGrid">
    <w:name w:val="Table Grid"/>
    <w:basedOn w:val="TableNormal"/>
    <w:uiPriority w:val="59"/>
    <w:rsid w:val="00D94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345"/>
    <w:pPr>
      <w:ind w:left="720"/>
      <w:contextualSpacing/>
    </w:pPr>
  </w:style>
  <w:style w:type="character" w:styleId="Hyperlink">
    <w:name w:val="Hyperlink"/>
    <w:basedOn w:val="DefaultParagraphFont"/>
    <w:uiPriority w:val="99"/>
    <w:unhideWhenUsed/>
    <w:rsid w:val="00990F31"/>
    <w:rPr>
      <w:color w:val="0000FF" w:themeColor="hyperlink"/>
      <w:u w:val="single"/>
    </w:rPr>
  </w:style>
  <w:style w:type="table" w:customStyle="1" w:styleId="TableGrid1">
    <w:name w:val="Table Grid1"/>
    <w:basedOn w:val="TableNormal"/>
    <w:next w:val="TableGrid"/>
    <w:uiPriority w:val="59"/>
    <w:rsid w:val="00990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44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D0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D7B46"/>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6D7B46"/>
    <w:rPr>
      <w:rFonts w:eastAsiaTheme="minorEastAsia"/>
      <w:lang w:eastAsia="en-GB"/>
    </w:rPr>
  </w:style>
  <w:style w:type="paragraph" w:styleId="Header">
    <w:name w:val="header"/>
    <w:basedOn w:val="Normal"/>
    <w:link w:val="HeaderChar"/>
    <w:uiPriority w:val="99"/>
    <w:unhideWhenUsed/>
    <w:rsid w:val="006D7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B46"/>
  </w:style>
  <w:style w:type="paragraph" w:styleId="BalloonText">
    <w:name w:val="Balloon Text"/>
    <w:basedOn w:val="Normal"/>
    <w:link w:val="BalloonTextChar"/>
    <w:uiPriority w:val="99"/>
    <w:semiHidden/>
    <w:unhideWhenUsed/>
    <w:rsid w:val="006D7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B46"/>
    <w:rPr>
      <w:rFonts w:ascii="Tahoma" w:hAnsi="Tahoma" w:cs="Tahoma"/>
      <w:sz w:val="16"/>
      <w:szCs w:val="16"/>
    </w:rPr>
  </w:style>
  <w:style w:type="paragraph" w:customStyle="1" w:styleId="Pa2">
    <w:name w:val="Pa2"/>
    <w:basedOn w:val="Normal"/>
    <w:next w:val="Normal"/>
    <w:uiPriority w:val="99"/>
    <w:rsid w:val="006831C5"/>
    <w:pPr>
      <w:autoSpaceDE w:val="0"/>
      <w:autoSpaceDN w:val="0"/>
      <w:adjustRightInd w:val="0"/>
      <w:spacing w:after="0" w:line="241" w:lineRule="atLeast"/>
    </w:pPr>
    <w:rPr>
      <w:rFonts w:ascii="Helvetica 65 Medium" w:eastAsiaTheme="minorEastAsia" w:hAnsi="Helvetica 65 Medium"/>
      <w:sz w:val="24"/>
      <w:szCs w:val="24"/>
      <w:lang w:eastAsia="en-GB"/>
    </w:rPr>
  </w:style>
  <w:style w:type="paragraph" w:styleId="TOCHeading">
    <w:name w:val="TOC Heading"/>
    <w:basedOn w:val="Heading1"/>
    <w:next w:val="Normal"/>
    <w:uiPriority w:val="39"/>
    <w:unhideWhenUsed/>
    <w:qFormat/>
    <w:rsid w:val="006831C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qFormat/>
    <w:rsid w:val="006831C5"/>
    <w:pPr>
      <w:spacing w:after="100"/>
      <w:ind w:left="216"/>
    </w:pPr>
    <w:rPr>
      <w:rFonts w:ascii="Lucida Sans Unicode" w:eastAsiaTheme="minorEastAsia" w:hAnsi="Lucida Sans Unicode" w:cs="Lucida Sans Unicode"/>
      <w:sz w:val="24"/>
      <w:szCs w:val="24"/>
      <w:lang w:val="en-US" w:eastAsia="en-GB"/>
    </w:rPr>
  </w:style>
  <w:style w:type="paragraph" w:styleId="TOC3">
    <w:name w:val="toc 3"/>
    <w:basedOn w:val="Normal"/>
    <w:next w:val="Normal"/>
    <w:autoRedefine/>
    <w:uiPriority w:val="39"/>
    <w:unhideWhenUsed/>
    <w:qFormat/>
    <w:rsid w:val="006831C5"/>
    <w:pPr>
      <w:spacing w:after="100"/>
      <w:ind w:left="440"/>
    </w:pPr>
    <w:rPr>
      <w:rFonts w:eastAsiaTheme="minorEastAsia"/>
      <w:lang w:val="en-US" w:eastAsia="en-GB"/>
    </w:rPr>
  </w:style>
  <w:style w:type="paragraph" w:styleId="NoSpacing">
    <w:name w:val="No Spacing"/>
    <w:uiPriority w:val="1"/>
    <w:qFormat/>
    <w:rsid w:val="006831C5"/>
    <w:pPr>
      <w:spacing w:after="0" w:line="240" w:lineRule="auto"/>
    </w:pPr>
    <w:rPr>
      <w:rFonts w:ascii="Calibri" w:eastAsia="Calibri" w:hAnsi="Calibri" w:cs="Times New Roman"/>
      <w:lang w:eastAsia="en-GB"/>
    </w:rPr>
  </w:style>
  <w:style w:type="character" w:styleId="CommentReference">
    <w:name w:val="annotation reference"/>
    <w:basedOn w:val="DefaultParagraphFont"/>
    <w:rsid w:val="006831C5"/>
    <w:rPr>
      <w:sz w:val="16"/>
      <w:szCs w:val="16"/>
    </w:rPr>
  </w:style>
  <w:style w:type="paragraph" w:styleId="CommentText">
    <w:name w:val="annotation text"/>
    <w:basedOn w:val="Normal"/>
    <w:link w:val="CommentTextChar"/>
    <w:rsid w:val="006831C5"/>
    <w:pPr>
      <w:spacing w:line="240" w:lineRule="auto"/>
    </w:pPr>
    <w:rPr>
      <w:rFonts w:eastAsiaTheme="minorEastAsia"/>
      <w:sz w:val="20"/>
      <w:szCs w:val="20"/>
      <w:lang w:eastAsia="en-GB"/>
    </w:rPr>
  </w:style>
  <w:style w:type="character" w:customStyle="1" w:styleId="CommentTextChar">
    <w:name w:val="Comment Text Char"/>
    <w:basedOn w:val="DefaultParagraphFont"/>
    <w:link w:val="CommentText"/>
    <w:rsid w:val="006831C5"/>
    <w:rPr>
      <w:rFonts w:eastAsiaTheme="minorEastAsia"/>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39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790AB-F997-4F46-B703-4D2E830D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NHFT</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Whiting Jeanette</dc:creator>
  <cp:lastModifiedBy>Moya Lenaghan</cp:lastModifiedBy>
  <cp:revision>2</cp:revision>
  <dcterms:created xsi:type="dcterms:W3CDTF">2016-10-19T16:04:00Z</dcterms:created>
  <dcterms:modified xsi:type="dcterms:W3CDTF">2016-10-19T16:04:00Z</dcterms:modified>
</cp:coreProperties>
</file>